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26EF" w:rsidRPr="00FB7DA8" w:rsidRDefault="002126EF" w:rsidP="00FB7DA8">
      <w:pPr>
        <w:spacing w:line="264" w:lineRule="auto"/>
        <w:jc w:val="center"/>
        <w:rPr>
          <w:b/>
          <w:bCs/>
          <w:color w:val="000000"/>
          <w:spacing w:val="-12"/>
          <w:sz w:val="28"/>
          <w:szCs w:val="28"/>
        </w:rPr>
      </w:pPr>
      <w:r w:rsidRPr="00FB7DA8">
        <w:rPr>
          <w:b/>
          <w:bCs/>
          <w:color w:val="000000"/>
          <w:spacing w:val="-12"/>
          <w:sz w:val="28"/>
          <w:szCs w:val="28"/>
        </w:rPr>
        <w:t>MỞ ĐẦU</w:t>
      </w:r>
    </w:p>
    <w:p w:rsidR="002126EF" w:rsidRPr="00FB7DA8" w:rsidRDefault="002126EF" w:rsidP="00FB7DA8">
      <w:pPr>
        <w:spacing w:line="264" w:lineRule="auto"/>
        <w:ind w:firstLine="567"/>
        <w:jc w:val="both"/>
        <w:rPr>
          <w:b/>
          <w:bCs/>
          <w:color w:val="000000"/>
          <w:sz w:val="28"/>
          <w:szCs w:val="28"/>
        </w:rPr>
      </w:pPr>
    </w:p>
    <w:p w:rsidR="002126EF" w:rsidRPr="00FB7DA8" w:rsidRDefault="002126EF" w:rsidP="00FB7DA8">
      <w:pPr>
        <w:spacing w:line="264" w:lineRule="auto"/>
        <w:ind w:firstLine="567"/>
        <w:jc w:val="both"/>
        <w:rPr>
          <w:color w:val="000000"/>
          <w:sz w:val="28"/>
          <w:szCs w:val="28"/>
        </w:rPr>
      </w:pPr>
      <w:r w:rsidRPr="00FB7DA8">
        <w:rPr>
          <w:color w:val="000000"/>
          <w:sz w:val="28"/>
          <w:szCs w:val="28"/>
        </w:rPr>
        <w:t xml:space="preserve">Hội nhập kinh tế quốc tế đã trở thành một xu thế tất yếu của mọi nền kinh tế. Việt Nam cũng không nằm ngoài xu thế chung này. Thế nhưng quá trình hội nhập đâu chỉ có cơ hội mà còn có nhiều thử thách và khó khăn buộc chúng ta phải kiên trì và nỗ lực vượt qua. Một trong những thử thách của quá trình hội nhập là việc hoàn thiện hệ thống chuẩn mực kế toán để có thể hoàn thiện khuôn khổ pháp lý cho hoạt động kế toán của Việt Nam bắt nhịp kịp với sự hội nhập kế toán ở các nước có nền kinh tế thị trường và quan trọng hơn là tạo môi trường pháp lý cho hội nhập kinh tế, quốc tế và khu vực. </w:t>
      </w:r>
    </w:p>
    <w:p w:rsidR="002126EF" w:rsidRPr="00FB7DA8" w:rsidRDefault="002126EF" w:rsidP="00FB7DA8">
      <w:pPr>
        <w:spacing w:line="264" w:lineRule="auto"/>
        <w:ind w:firstLine="567"/>
        <w:jc w:val="both"/>
        <w:rPr>
          <w:color w:val="000000"/>
          <w:sz w:val="28"/>
          <w:szCs w:val="28"/>
        </w:rPr>
      </w:pPr>
      <w:r w:rsidRPr="00FB7DA8">
        <w:rPr>
          <w:color w:val="000000"/>
          <w:sz w:val="28"/>
          <w:szCs w:val="28"/>
        </w:rPr>
        <w:t xml:space="preserve">Các chuẩn mực kế toán Việt Nam hiện nay đang được xây dựng trên cơ sở các chuẩn mực kế toán quốc tế để tạo điều kiện cho quá trình hội nhập kinh tế quốc tế của Việt Nam được dễ dàng hơn. Tuy nhiên, do điều kiện kinh tế xã hội đặc thù của Việt Nam mà việc áp dụng toàn bộ các chuẩn mực kế toán quốc tế vào thực tiễn hoạt động kinh doanh ở Việt Nam là chưa thể thực hiện được. Chính nguyên nhân đú đó khiến cho các chuẩn mực kế toán Việt Nam dù được xây dựng trên cơ sở các chuẩn mực kế toán quốc tế vẫn có nhiều điểm khác biệt mang tính trọng yếu. </w:t>
      </w:r>
    </w:p>
    <w:p w:rsidR="002126EF" w:rsidRPr="00FB7DA8" w:rsidRDefault="002126EF" w:rsidP="00FB7DA8">
      <w:pPr>
        <w:spacing w:line="264" w:lineRule="auto"/>
        <w:ind w:firstLine="567"/>
        <w:jc w:val="both"/>
        <w:rPr>
          <w:color w:val="000000"/>
          <w:sz w:val="28"/>
          <w:szCs w:val="28"/>
        </w:rPr>
      </w:pPr>
      <w:r w:rsidRPr="00FB7DA8">
        <w:rPr>
          <w:color w:val="000000"/>
          <w:sz w:val="28"/>
          <w:szCs w:val="28"/>
        </w:rPr>
        <w:t>Việc xem xét nghiên cứu những điểm khác biệt giữa các chuẩn mực kế toán Việt Nam và các chuẩn mực kế toán quốc tế nhằm giúp cho các doanh nghiệp có vốn đầu tư nước ngoài hoạt động ở Việt Nam có thể thấy được những sự khác biệt căn bản giữa hai hệ thống chuẩn mực kế toán, từ đó mà doanh nghiệp có thể dễ dàng thực hiện sự chuyển đổi từ báo cáo theo chuẩn mực kế toán Việt Nam sang báo cáo theo chuẩn mực kế toán quốc tế một cách dễ dàng hơn. Đồng thời khi nghiên cứu những khác biệt của chuẩn mực kế toán Việt Nam so với chuẩn mực kế toán quốc tế, chúng ta có thể rút ra được những vấn đề mà cần bổ sung, sửa đổi trong các chuẩn mực kế toán Việt Nam để từ đó hoàn thiện hơn hệ thống các chuẩn mực kế toán Việt Nam phục vụ cho mục đích hội nhập kinh tế. Bên cạnh đó nghiên cứu những sự khác biệt giữa các hệ thống chuẩn mực cũng góp phần cho công tác nghiên cứu và tìm hiểu về xu thế hài hòa hóa cỏc quy định kế toán đang diễn ra trên thế giới.</w:t>
      </w:r>
    </w:p>
    <w:p w:rsidR="002126EF" w:rsidRPr="00FB7DA8" w:rsidRDefault="002126EF" w:rsidP="00FB7DA8">
      <w:pPr>
        <w:spacing w:line="264" w:lineRule="auto"/>
        <w:ind w:firstLine="567"/>
        <w:jc w:val="both"/>
        <w:rPr>
          <w:color w:val="000000"/>
          <w:sz w:val="28"/>
          <w:szCs w:val="28"/>
        </w:rPr>
      </w:pPr>
      <w:r w:rsidRPr="00FB7DA8">
        <w:rPr>
          <w:color w:val="000000"/>
          <w:sz w:val="28"/>
          <w:szCs w:val="28"/>
        </w:rPr>
        <w:t xml:space="preserve">Đã có nhiều công trình, bài viết nghiên cứu về các chuẩn mực kế toán Việt Nam và các chuẩn mực kế toán Quốc tế như Giáo </w:t>
      </w:r>
      <w:r w:rsidRPr="00FB7DA8">
        <w:rPr>
          <w:i/>
          <w:iCs/>
          <w:color w:val="000000"/>
          <w:sz w:val="28"/>
          <w:szCs w:val="28"/>
        </w:rPr>
        <w:t>trình Chuẩn mực kế toán quốc tế</w:t>
      </w:r>
      <w:r w:rsidRPr="00FB7DA8">
        <w:rPr>
          <w:color w:val="000000"/>
          <w:sz w:val="28"/>
          <w:szCs w:val="28"/>
        </w:rPr>
        <w:t xml:space="preserve"> của GS.TS.NGND Ngô Thế Chi, TS Trương Thị Thủy, NXB Tài chính 2010; </w:t>
      </w:r>
      <w:r w:rsidRPr="00FB7DA8">
        <w:rPr>
          <w:i/>
          <w:iCs/>
          <w:color w:val="000000"/>
          <w:sz w:val="28"/>
          <w:szCs w:val="28"/>
        </w:rPr>
        <w:t>26 Chuẩn mực kế toán Việt Nam</w:t>
      </w:r>
      <w:r w:rsidRPr="00FB7DA8">
        <w:rPr>
          <w:color w:val="000000"/>
          <w:sz w:val="28"/>
          <w:szCs w:val="28"/>
        </w:rPr>
        <w:t xml:space="preserve"> của Bộ Tài chính, NXB Lao động 2013; </w:t>
      </w:r>
      <w:r w:rsidRPr="00FB7DA8">
        <w:rPr>
          <w:rStyle w:val="Emphasis"/>
          <w:color w:val="000000"/>
          <w:sz w:val="28"/>
          <w:szCs w:val="28"/>
        </w:rPr>
        <w:t xml:space="preserve">Sự hòa hợp giữa chuẩn mực kế toán Việt Nam và chuẩn mực kế toán quốc tế </w:t>
      </w:r>
      <w:r w:rsidRPr="00FB7DA8">
        <w:rPr>
          <w:rStyle w:val="Emphasis"/>
          <w:i w:val="0"/>
          <w:iCs w:val="0"/>
          <w:color w:val="000000"/>
          <w:sz w:val="28"/>
          <w:szCs w:val="28"/>
        </w:rPr>
        <w:t>của TS. Nguyễn Đăng Huy, Tạp chí Tài chính (2017);</w:t>
      </w:r>
      <w:r w:rsidRPr="00FB7DA8">
        <w:rPr>
          <w:color w:val="000000"/>
          <w:sz w:val="28"/>
          <w:szCs w:val="28"/>
        </w:rPr>
        <w:t>…song chưa có bài viết, hay công trình đi sâu nghiên cứu về khả năng áp dụng các chuẩn mực kế toán quốc tế ở Việt Nam. Với ý nghĩa đó Tôi lựa chọn đề tài nghiên cứu khả năng áp dụng chuẩn mực kế toán quốc tế ở Việt Nam làm tiểu luận học phần …………….Tiểu luận vận dụng phương pháp luận của chủ nghĩa duy vật biện chứng, duy vật lịch sử để nghiên cứu các vấn đề một cách vừa ở tính toàn diện vừa ở tính cụ thể, đảm bảo tính logic của vấn đề nghiên cứu.</w:t>
      </w:r>
    </w:p>
    <w:p w:rsidR="002126EF" w:rsidRPr="00FB7DA8" w:rsidRDefault="002126EF" w:rsidP="00FB7DA8">
      <w:pPr>
        <w:spacing w:line="264" w:lineRule="auto"/>
        <w:ind w:firstLine="567"/>
        <w:jc w:val="both"/>
        <w:rPr>
          <w:color w:val="000000"/>
          <w:sz w:val="28"/>
          <w:szCs w:val="28"/>
        </w:rPr>
      </w:pPr>
      <w:r w:rsidRPr="00FB7DA8">
        <w:rPr>
          <w:color w:val="000000"/>
          <w:sz w:val="28"/>
          <w:szCs w:val="28"/>
        </w:rPr>
        <w:t xml:space="preserve"> Sử dụng tổng hợp các phương pháp nghiên cứu như phương pháp qui nạp, diễn giải, phương pháp phân tích tổng hợp, phương pháp phân tích so sánh để phân tích vấn đề, so sánh, đánh giá và rút ra vấn đề.</w:t>
      </w:r>
    </w:p>
    <w:p w:rsidR="002126EF" w:rsidRPr="00FB7DA8" w:rsidRDefault="002126EF" w:rsidP="00FB7DA8">
      <w:pPr>
        <w:spacing w:line="264" w:lineRule="auto"/>
        <w:ind w:firstLine="567"/>
        <w:jc w:val="center"/>
        <w:rPr>
          <w:color w:val="000000"/>
          <w:sz w:val="28"/>
          <w:szCs w:val="28"/>
        </w:rPr>
      </w:pPr>
    </w:p>
    <w:p w:rsidR="002126EF" w:rsidRPr="00FB7DA8" w:rsidRDefault="002126EF" w:rsidP="00FB7DA8">
      <w:pPr>
        <w:spacing w:line="264" w:lineRule="auto"/>
        <w:ind w:firstLine="567"/>
        <w:jc w:val="center"/>
        <w:rPr>
          <w:color w:val="000000"/>
          <w:sz w:val="28"/>
          <w:szCs w:val="28"/>
        </w:rPr>
      </w:pPr>
    </w:p>
    <w:p w:rsidR="002126EF" w:rsidRPr="00FB7DA8" w:rsidRDefault="002126EF" w:rsidP="00FB7DA8">
      <w:pPr>
        <w:spacing w:line="264" w:lineRule="auto"/>
        <w:ind w:firstLine="567"/>
        <w:jc w:val="center"/>
        <w:rPr>
          <w:color w:val="000000"/>
          <w:sz w:val="28"/>
          <w:szCs w:val="28"/>
        </w:rPr>
      </w:pPr>
    </w:p>
    <w:p w:rsidR="002126EF" w:rsidRPr="00FB7DA8" w:rsidRDefault="002126EF" w:rsidP="00FB7DA8">
      <w:pPr>
        <w:spacing w:line="264" w:lineRule="auto"/>
        <w:ind w:firstLine="567"/>
        <w:jc w:val="center"/>
        <w:rPr>
          <w:color w:val="000000"/>
          <w:sz w:val="28"/>
          <w:szCs w:val="28"/>
        </w:rPr>
      </w:pPr>
    </w:p>
    <w:p w:rsidR="002126EF" w:rsidRPr="00FB7DA8" w:rsidRDefault="002126EF" w:rsidP="00FB7DA8">
      <w:pPr>
        <w:spacing w:line="264" w:lineRule="auto"/>
        <w:ind w:firstLine="567"/>
        <w:jc w:val="center"/>
        <w:rPr>
          <w:color w:val="000000"/>
          <w:sz w:val="28"/>
          <w:szCs w:val="28"/>
        </w:rPr>
      </w:pPr>
    </w:p>
    <w:p w:rsidR="002126EF" w:rsidRPr="00FB7DA8" w:rsidRDefault="002126EF" w:rsidP="00FB7DA8">
      <w:pPr>
        <w:spacing w:line="264" w:lineRule="auto"/>
        <w:ind w:firstLine="567"/>
        <w:jc w:val="center"/>
        <w:rPr>
          <w:color w:val="000000"/>
          <w:sz w:val="28"/>
          <w:szCs w:val="28"/>
        </w:rPr>
      </w:pPr>
    </w:p>
    <w:p w:rsidR="002126EF" w:rsidRPr="00FB7DA8" w:rsidRDefault="002126EF" w:rsidP="00FB7DA8">
      <w:pPr>
        <w:spacing w:line="264" w:lineRule="auto"/>
        <w:ind w:firstLine="567"/>
        <w:jc w:val="center"/>
        <w:rPr>
          <w:color w:val="000000"/>
          <w:sz w:val="28"/>
          <w:szCs w:val="28"/>
        </w:rPr>
      </w:pPr>
    </w:p>
    <w:p w:rsidR="002126EF" w:rsidRPr="00FB7DA8" w:rsidRDefault="002126EF" w:rsidP="00FB7DA8">
      <w:pPr>
        <w:spacing w:line="264" w:lineRule="auto"/>
        <w:ind w:firstLine="567"/>
        <w:jc w:val="center"/>
        <w:rPr>
          <w:color w:val="000000"/>
          <w:sz w:val="28"/>
          <w:szCs w:val="28"/>
        </w:rPr>
      </w:pPr>
    </w:p>
    <w:p w:rsidR="002126EF" w:rsidRPr="00FB7DA8" w:rsidRDefault="002126EF" w:rsidP="00FB7DA8">
      <w:pPr>
        <w:spacing w:line="264" w:lineRule="auto"/>
        <w:ind w:firstLine="567"/>
        <w:jc w:val="center"/>
        <w:rPr>
          <w:color w:val="000000"/>
          <w:sz w:val="28"/>
          <w:szCs w:val="28"/>
        </w:rPr>
      </w:pPr>
    </w:p>
    <w:p w:rsidR="002126EF" w:rsidRPr="00FB7DA8" w:rsidRDefault="002126EF" w:rsidP="00FB7DA8">
      <w:pPr>
        <w:spacing w:line="264" w:lineRule="auto"/>
        <w:ind w:firstLine="567"/>
        <w:jc w:val="center"/>
        <w:rPr>
          <w:color w:val="000000"/>
          <w:sz w:val="28"/>
          <w:szCs w:val="28"/>
        </w:rPr>
      </w:pPr>
    </w:p>
    <w:p w:rsidR="002126EF" w:rsidRPr="00FB7DA8" w:rsidRDefault="002126EF" w:rsidP="00FB7DA8">
      <w:pPr>
        <w:spacing w:line="264" w:lineRule="auto"/>
        <w:ind w:firstLine="567"/>
        <w:jc w:val="center"/>
        <w:rPr>
          <w:color w:val="000000"/>
          <w:sz w:val="28"/>
          <w:szCs w:val="28"/>
        </w:rPr>
      </w:pPr>
    </w:p>
    <w:p w:rsidR="002126EF" w:rsidRPr="00FB7DA8" w:rsidRDefault="002126EF" w:rsidP="00FB7DA8">
      <w:pPr>
        <w:spacing w:line="264" w:lineRule="auto"/>
        <w:ind w:firstLine="567"/>
        <w:jc w:val="center"/>
        <w:rPr>
          <w:color w:val="000000"/>
          <w:sz w:val="28"/>
          <w:szCs w:val="28"/>
        </w:rPr>
      </w:pPr>
    </w:p>
    <w:p w:rsidR="002126EF" w:rsidRPr="00FB7DA8" w:rsidRDefault="002126EF" w:rsidP="00FB7DA8">
      <w:pPr>
        <w:spacing w:line="264" w:lineRule="auto"/>
        <w:ind w:firstLine="567"/>
        <w:jc w:val="center"/>
        <w:rPr>
          <w:color w:val="000000"/>
          <w:sz w:val="28"/>
          <w:szCs w:val="28"/>
        </w:rPr>
      </w:pPr>
    </w:p>
    <w:p w:rsidR="002126EF" w:rsidRPr="00FB7DA8" w:rsidRDefault="002126EF" w:rsidP="00FB7DA8">
      <w:pPr>
        <w:spacing w:line="264" w:lineRule="auto"/>
        <w:rPr>
          <w:color w:val="000000"/>
          <w:sz w:val="28"/>
          <w:szCs w:val="28"/>
        </w:rPr>
      </w:pPr>
    </w:p>
    <w:p w:rsidR="002126EF" w:rsidRPr="00FB7DA8" w:rsidRDefault="002126EF" w:rsidP="00FB7DA8">
      <w:pPr>
        <w:spacing w:line="264" w:lineRule="auto"/>
        <w:ind w:firstLine="567"/>
        <w:jc w:val="center"/>
        <w:rPr>
          <w:color w:val="000000"/>
          <w:sz w:val="28"/>
          <w:szCs w:val="28"/>
        </w:rPr>
      </w:pPr>
    </w:p>
    <w:p w:rsidR="002126EF" w:rsidRPr="00FB7DA8" w:rsidRDefault="002126EF" w:rsidP="00FB7DA8">
      <w:pPr>
        <w:spacing w:line="264" w:lineRule="auto"/>
        <w:ind w:firstLine="567"/>
        <w:jc w:val="center"/>
        <w:rPr>
          <w:color w:val="000000"/>
          <w:sz w:val="28"/>
          <w:szCs w:val="28"/>
        </w:rPr>
      </w:pPr>
    </w:p>
    <w:p w:rsidR="002126EF" w:rsidRPr="00FB7DA8" w:rsidRDefault="002126EF" w:rsidP="00FB7DA8">
      <w:pPr>
        <w:spacing w:line="264" w:lineRule="auto"/>
        <w:rPr>
          <w:color w:val="000000"/>
          <w:sz w:val="28"/>
          <w:szCs w:val="28"/>
        </w:rPr>
      </w:pPr>
    </w:p>
    <w:p w:rsidR="002126EF" w:rsidRPr="00FB7DA8" w:rsidRDefault="002126EF" w:rsidP="00FB7DA8">
      <w:pPr>
        <w:spacing w:line="264" w:lineRule="auto"/>
        <w:ind w:firstLine="567"/>
        <w:jc w:val="center"/>
        <w:rPr>
          <w:b/>
          <w:bCs/>
          <w:color w:val="000000"/>
          <w:sz w:val="28"/>
          <w:szCs w:val="28"/>
        </w:rPr>
      </w:pPr>
      <w:r w:rsidRPr="00FB7DA8">
        <w:rPr>
          <w:b/>
          <w:bCs/>
          <w:color w:val="000000"/>
          <w:sz w:val="28"/>
          <w:szCs w:val="28"/>
        </w:rPr>
        <w:t>NỘI DUNG</w:t>
      </w:r>
    </w:p>
    <w:p w:rsidR="002126EF" w:rsidRPr="00FB7DA8" w:rsidRDefault="002126EF" w:rsidP="00FB7DA8">
      <w:pPr>
        <w:spacing w:line="264" w:lineRule="auto"/>
        <w:ind w:firstLine="567"/>
        <w:jc w:val="both"/>
        <w:rPr>
          <w:color w:val="000000"/>
          <w:sz w:val="28"/>
          <w:szCs w:val="28"/>
        </w:rPr>
      </w:pPr>
    </w:p>
    <w:p w:rsidR="002126EF" w:rsidRPr="00FB7DA8" w:rsidRDefault="002126EF" w:rsidP="00FB7DA8">
      <w:pPr>
        <w:pStyle w:val="Heading1"/>
        <w:spacing w:before="0" w:after="0" w:line="264" w:lineRule="auto"/>
        <w:ind w:firstLine="720"/>
        <w:jc w:val="both"/>
        <w:rPr>
          <w:rFonts w:ascii="Times New Roman" w:hAnsi="Times New Roman" w:cs="Times New Roman"/>
          <w:color w:val="000000"/>
          <w:sz w:val="28"/>
          <w:szCs w:val="28"/>
        </w:rPr>
      </w:pPr>
      <w:bookmarkStart w:id="0" w:name="_Toc261404084"/>
      <w:r w:rsidRPr="00FB7DA8">
        <w:rPr>
          <w:rFonts w:ascii="Times New Roman" w:hAnsi="Times New Roman" w:cs="Times New Roman"/>
          <w:color w:val="000000"/>
          <w:sz w:val="28"/>
          <w:szCs w:val="28"/>
        </w:rPr>
        <w:t>I. Khái niệm và sự cần thiết phải có chuẩn mực kế toán:</w:t>
      </w:r>
      <w:bookmarkEnd w:id="0"/>
    </w:p>
    <w:p w:rsidR="002126EF" w:rsidRPr="00FB7DA8" w:rsidRDefault="002126EF" w:rsidP="00FB7DA8">
      <w:pPr>
        <w:pStyle w:val="Heading2"/>
        <w:spacing w:before="0" w:after="0" w:line="264" w:lineRule="auto"/>
        <w:ind w:firstLine="720"/>
        <w:jc w:val="both"/>
        <w:rPr>
          <w:rFonts w:ascii="Times New Roman" w:hAnsi="Times New Roman" w:cs="Times New Roman"/>
          <w:i w:val="0"/>
          <w:iCs w:val="0"/>
          <w:color w:val="000000"/>
        </w:rPr>
      </w:pPr>
      <w:bookmarkStart w:id="1" w:name="_Toc261404085"/>
      <w:r w:rsidRPr="00FB7DA8">
        <w:rPr>
          <w:rFonts w:ascii="Times New Roman" w:hAnsi="Times New Roman" w:cs="Times New Roman"/>
          <w:i w:val="0"/>
          <w:iCs w:val="0"/>
          <w:color w:val="000000"/>
        </w:rPr>
        <w:t>1. Khái niệm về chuẩn mực kế toán:</w:t>
      </w:r>
      <w:bookmarkEnd w:id="1"/>
    </w:p>
    <w:p w:rsidR="002126EF" w:rsidRPr="00FB7DA8" w:rsidRDefault="002126EF" w:rsidP="00FB7DA8">
      <w:pPr>
        <w:spacing w:line="264" w:lineRule="auto"/>
        <w:ind w:firstLine="720"/>
        <w:jc w:val="both"/>
        <w:rPr>
          <w:color w:val="000000"/>
          <w:sz w:val="28"/>
          <w:szCs w:val="28"/>
        </w:rPr>
      </w:pPr>
      <w:r w:rsidRPr="00FB7DA8">
        <w:rPr>
          <w:color w:val="000000"/>
          <w:sz w:val="28"/>
          <w:szCs w:val="28"/>
        </w:rPr>
        <w:t xml:space="preserve"> Theo điều 7, Luật kế toán năm 2015 thì “Chuẩn mực kế toán gồm những quy định và phương pháp kế toán cơ bản để lập báo cáo tài chính.</w:t>
      </w:r>
    </w:p>
    <w:p w:rsidR="002126EF" w:rsidRPr="00FB7DA8" w:rsidRDefault="002126EF" w:rsidP="00FB7DA8">
      <w:pPr>
        <w:spacing w:line="264" w:lineRule="auto"/>
        <w:ind w:firstLine="720"/>
        <w:jc w:val="both"/>
        <w:rPr>
          <w:color w:val="000000"/>
          <w:sz w:val="28"/>
          <w:szCs w:val="28"/>
        </w:rPr>
      </w:pPr>
      <w:r w:rsidRPr="00FB7DA8">
        <w:rPr>
          <w:color w:val="000000"/>
          <w:sz w:val="28"/>
          <w:szCs w:val="28"/>
        </w:rPr>
        <w:t>Chuẩn mực đạo đức nghề nghiệp kế toán gồm những quy định và hướng dẫn về nguyên tắc, nội dung áp dụng các tiêu chuẩn đạo đức nghề nghiệp đối với người làm kế toán, kế toán viên hành nghề, doanh nghiệp và hộkinh doanh dịch vụ kế toán.</w:t>
      </w:r>
    </w:p>
    <w:p w:rsidR="002126EF" w:rsidRPr="00FB7DA8" w:rsidRDefault="002126EF" w:rsidP="00FB7DA8">
      <w:pPr>
        <w:spacing w:line="264" w:lineRule="auto"/>
        <w:ind w:firstLine="720"/>
        <w:jc w:val="both"/>
        <w:rPr>
          <w:color w:val="000000"/>
          <w:sz w:val="28"/>
          <w:szCs w:val="28"/>
        </w:rPr>
      </w:pPr>
      <w:r w:rsidRPr="00FB7DA8">
        <w:rPr>
          <w:color w:val="000000"/>
          <w:sz w:val="28"/>
          <w:szCs w:val="28"/>
        </w:rPr>
        <w:t>Bộ Tài chính quy định chuẩn mực kế toán, chuẩn mực đạo đức nghề nghiệp kế toán trên cơ sở chuẩn mực quốc tế về kế toán phù hợp với điều kiện cụ thể của Việt Nam.</w:t>
      </w:r>
    </w:p>
    <w:p w:rsidR="002126EF" w:rsidRPr="00FB7DA8" w:rsidRDefault="002126EF" w:rsidP="00FB7DA8">
      <w:pPr>
        <w:spacing w:line="264" w:lineRule="auto"/>
        <w:ind w:firstLine="567"/>
        <w:jc w:val="both"/>
        <w:rPr>
          <w:color w:val="000000"/>
          <w:sz w:val="28"/>
          <w:szCs w:val="28"/>
        </w:rPr>
      </w:pPr>
      <w:r w:rsidRPr="00FB7DA8">
        <w:rPr>
          <w:color w:val="000000"/>
          <w:sz w:val="28"/>
          <w:szCs w:val="28"/>
        </w:rPr>
        <w:t>Kết cấu của một chuẩn mực kế toán gồm các phần sau :</w:t>
      </w:r>
    </w:p>
    <w:p w:rsidR="002126EF" w:rsidRPr="00FB7DA8" w:rsidRDefault="002126EF" w:rsidP="00FB7DA8">
      <w:pPr>
        <w:spacing w:line="264" w:lineRule="auto"/>
        <w:ind w:firstLine="567"/>
        <w:jc w:val="both"/>
        <w:rPr>
          <w:color w:val="000000"/>
          <w:sz w:val="28"/>
          <w:szCs w:val="28"/>
        </w:rPr>
      </w:pPr>
      <w:r w:rsidRPr="00FB7DA8">
        <w:rPr>
          <w:color w:val="000000"/>
          <w:sz w:val="28"/>
          <w:szCs w:val="28"/>
        </w:rPr>
        <w:t>- Mục đích của chuẩn mực</w:t>
      </w:r>
    </w:p>
    <w:p w:rsidR="002126EF" w:rsidRPr="00FB7DA8" w:rsidRDefault="002126EF" w:rsidP="00FB7DA8">
      <w:pPr>
        <w:spacing w:line="264" w:lineRule="auto"/>
        <w:ind w:firstLine="567"/>
        <w:jc w:val="both"/>
        <w:rPr>
          <w:color w:val="000000"/>
          <w:sz w:val="28"/>
          <w:szCs w:val="28"/>
        </w:rPr>
      </w:pPr>
      <w:r w:rsidRPr="00FB7DA8">
        <w:rPr>
          <w:color w:val="000000"/>
          <w:sz w:val="28"/>
          <w:szCs w:val="28"/>
        </w:rPr>
        <w:t>- Phạm vi của chuẩn mực</w:t>
      </w:r>
    </w:p>
    <w:p w:rsidR="002126EF" w:rsidRPr="00FB7DA8" w:rsidRDefault="002126EF" w:rsidP="00FB7DA8">
      <w:pPr>
        <w:spacing w:line="264" w:lineRule="auto"/>
        <w:ind w:firstLine="567"/>
        <w:jc w:val="both"/>
        <w:rPr>
          <w:color w:val="000000"/>
          <w:sz w:val="28"/>
          <w:szCs w:val="28"/>
        </w:rPr>
      </w:pPr>
      <w:r w:rsidRPr="00FB7DA8">
        <w:rPr>
          <w:color w:val="000000"/>
          <w:sz w:val="28"/>
          <w:szCs w:val="28"/>
        </w:rPr>
        <w:t>- Các định nghĩa sử dụng trong chuẩn mực</w:t>
      </w:r>
    </w:p>
    <w:p w:rsidR="002126EF" w:rsidRPr="00FB7DA8" w:rsidRDefault="002126EF" w:rsidP="00FB7DA8">
      <w:pPr>
        <w:spacing w:line="264" w:lineRule="auto"/>
        <w:ind w:firstLine="567"/>
        <w:jc w:val="both"/>
        <w:rPr>
          <w:color w:val="000000"/>
          <w:sz w:val="28"/>
          <w:szCs w:val="28"/>
        </w:rPr>
      </w:pPr>
      <w:r w:rsidRPr="00FB7DA8">
        <w:rPr>
          <w:color w:val="000000"/>
          <w:sz w:val="28"/>
          <w:szCs w:val="28"/>
        </w:rPr>
        <w:t>- Phần nội dung chính gồm các nguyên tắc, các phương pháp, các yêu cầu về lập và trình bày báo cáo tài chính</w:t>
      </w:r>
      <w:bookmarkStart w:id="2" w:name="_Toc261404086"/>
    </w:p>
    <w:p w:rsidR="002126EF" w:rsidRPr="00FB7DA8" w:rsidRDefault="002126EF" w:rsidP="00FB7DA8">
      <w:pPr>
        <w:spacing w:line="264" w:lineRule="auto"/>
        <w:ind w:firstLine="720"/>
        <w:jc w:val="both"/>
        <w:rPr>
          <w:b/>
          <w:bCs/>
          <w:color w:val="000000"/>
          <w:sz w:val="28"/>
          <w:szCs w:val="28"/>
        </w:rPr>
      </w:pPr>
      <w:r w:rsidRPr="00FB7DA8">
        <w:rPr>
          <w:b/>
          <w:bCs/>
          <w:color w:val="000000"/>
          <w:sz w:val="28"/>
          <w:szCs w:val="28"/>
        </w:rPr>
        <w:t>2. Sự cần thiết phải có chuẩn mực kế toán</w:t>
      </w:r>
      <w:bookmarkEnd w:id="2"/>
    </w:p>
    <w:p w:rsidR="002126EF" w:rsidRPr="00FB7DA8" w:rsidRDefault="002126EF" w:rsidP="00FB7DA8">
      <w:pPr>
        <w:spacing w:line="264" w:lineRule="auto"/>
        <w:ind w:firstLine="720"/>
        <w:jc w:val="both"/>
        <w:rPr>
          <w:color w:val="000000"/>
          <w:sz w:val="28"/>
          <w:szCs w:val="28"/>
        </w:rPr>
      </w:pPr>
      <w:r w:rsidRPr="00FB7DA8">
        <w:rPr>
          <w:color w:val="000000"/>
          <w:sz w:val="28"/>
          <w:szCs w:val="28"/>
        </w:rPr>
        <w:t xml:space="preserve">Mục đích chung của việc soạn thảo và ban hành các chuẩn mực kế toán là để thống nhất hoạt động kế toán trong một phạm vi địa lý (đó có thể là trong một quốc gia, trong một khu vực  hay trên toàn cầu). </w:t>
      </w:r>
    </w:p>
    <w:p w:rsidR="002126EF" w:rsidRPr="00FB7DA8" w:rsidRDefault="002126EF" w:rsidP="00FB7DA8">
      <w:pPr>
        <w:spacing w:line="264" w:lineRule="auto"/>
        <w:ind w:firstLine="720"/>
        <w:jc w:val="both"/>
        <w:rPr>
          <w:color w:val="000000"/>
          <w:sz w:val="28"/>
          <w:szCs w:val="28"/>
        </w:rPr>
      </w:pPr>
      <w:r w:rsidRPr="00FB7DA8">
        <w:rPr>
          <w:color w:val="000000"/>
          <w:sz w:val="28"/>
          <w:szCs w:val="28"/>
        </w:rPr>
        <w:t xml:space="preserve">Nếu như không có chuẩn mực kế toán , các công ty sẽ sử dụng nhiều phương pháp khác nhau để lập và trình bày báo cáo tài chính của mình. Ví dụ nếu như không có chuẩn mực kế toán thì sẽ có công ty thì ghi nhận chi phí sửa chữa và bảo trì tài sản vào giá trị tài sản với lý do là  các chi phí đú giỳp tài sản duy trì được trạng thái hoạt động tốt và nhờ đó đem lại lợi ích kinh tế cho công ty. Thế nhưng sẽ có công ty lại lý luận rằng chi phí sửa chữa và bảo trì tài sản chỉ giúp cho tài sản duy trì trạng thái hiện tại chứ không làm tăng thêm lợi ích kinh tế từ tài sản. Do đó, công ty không ghi nhận chi phí đó vào giá trị tài sản. Mỗi công ty đều cho rằng lý luận của mỡnh đỳng và lập báo cáo tài chính theo những cách khác nhau. Và tất yếu, hai báo cáo tài chính của hai công ty không thể đem ra so sánh với nhau được do chúng không được lập trên cùng một cơ  sở. </w:t>
      </w:r>
    </w:p>
    <w:p w:rsidR="002126EF" w:rsidRPr="00FB7DA8" w:rsidRDefault="002126EF" w:rsidP="00FB7DA8">
      <w:pPr>
        <w:spacing w:line="264" w:lineRule="auto"/>
        <w:ind w:firstLine="720"/>
        <w:jc w:val="both"/>
        <w:rPr>
          <w:color w:val="000000"/>
          <w:sz w:val="28"/>
          <w:szCs w:val="28"/>
        </w:rPr>
      </w:pPr>
      <w:r w:rsidRPr="00FB7DA8">
        <w:rPr>
          <w:color w:val="000000"/>
          <w:sz w:val="28"/>
          <w:szCs w:val="28"/>
        </w:rPr>
        <w:t xml:space="preserve">Không chỉ có thế, việc thiếu một bộ chuẩn mực kế toán sẽ là cơ hội cho các công ty sử dụng các thủ pháp kế toán để làm đẹp báo cáo tài chính. Các công ty thậm chí có thể biến tình trạng thua lỗ của công ty thành có lãi. </w:t>
      </w:r>
    </w:p>
    <w:p w:rsidR="002126EF" w:rsidRPr="00FB7DA8" w:rsidRDefault="002126EF" w:rsidP="00FB7DA8">
      <w:pPr>
        <w:spacing w:line="264" w:lineRule="auto"/>
        <w:ind w:firstLine="720"/>
        <w:jc w:val="both"/>
        <w:rPr>
          <w:color w:val="000000"/>
          <w:sz w:val="28"/>
          <w:szCs w:val="28"/>
        </w:rPr>
      </w:pPr>
      <w:r w:rsidRPr="00FB7DA8">
        <w:rPr>
          <w:color w:val="000000"/>
          <w:sz w:val="28"/>
          <w:szCs w:val="28"/>
        </w:rPr>
        <w:t>Việc thiếu chuẩn mực kế toán cũng tạo cơ hội cho các công ty được tùy ý trình bày các thông tin có liên quan đến các đối tượng kế toán trên báo cáo tài chính. Công ty có thể giấu diếm các thông tin bất lợi cho mình và chỉ trình bày những thông tin có lợi cho mình.</w:t>
      </w:r>
    </w:p>
    <w:p w:rsidR="002126EF" w:rsidRPr="00FB7DA8" w:rsidRDefault="002126EF" w:rsidP="00FB7DA8">
      <w:pPr>
        <w:spacing w:line="264" w:lineRule="auto"/>
        <w:ind w:firstLine="720"/>
        <w:jc w:val="both"/>
        <w:rPr>
          <w:color w:val="000000"/>
          <w:sz w:val="28"/>
          <w:szCs w:val="28"/>
        </w:rPr>
      </w:pPr>
      <w:r w:rsidRPr="00FB7DA8">
        <w:rPr>
          <w:color w:val="000000"/>
          <w:sz w:val="28"/>
          <w:szCs w:val="28"/>
        </w:rPr>
        <w:t>Chớnh vì những vấn đề trên, người sử dụng báo cáo tài chính sẽ không thể đưa ra một quyết định kinh tế hợp lý dựa vào các thông tin trên báo cáo tài chính được. Ví dụ như nhà đầu tư không thể đưa ra quyết định chọn lựa công ty nào để đầu tư vốn. Ngân hàng không thể đánh giá được khả năng trả nợ của các công ty trong quá trình thẩm định tín dụng  để quyết định nên cho công ty nào vay. Các cơ quan thuế có thể thu không đủ thuế. Nhà Nước không thể đánh giá được một cách chính xác hiệu quả hoạt động kinh tế của các doanh nghiệp…</w:t>
      </w:r>
    </w:p>
    <w:p w:rsidR="002126EF" w:rsidRPr="00FB7DA8" w:rsidRDefault="002126EF" w:rsidP="00FB7DA8">
      <w:pPr>
        <w:spacing w:line="264" w:lineRule="auto"/>
        <w:ind w:firstLine="720"/>
        <w:jc w:val="both"/>
        <w:rPr>
          <w:color w:val="000000"/>
          <w:sz w:val="28"/>
          <w:szCs w:val="28"/>
        </w:rPr>
      </w:pPr>
      <w:r w:rsidRPr="00FB7DA8">
        <w:rPr>
          <w:color w:val="000000"/>
          <w:sz w:val="28"/>
          <w:szCs w:val="28"/>
        </w:rPr>
        <w:t>Ngoài ra, việc có một bộ chuẩn mực kế toán cũng giúp ích cho người sử dụng báo cáo tài chính  trong việc đọc và phân tích các báo cáo tài chính được dễ dàng hơn. Người sử dụng báo cáo tài chính có thể hiểu được cấu trúc của báo cáo tài chính, bản chẩt của các chỉ tiêu trên báo cáo tài chính, hiểu được các thuyết minh báo cáo tài chính bằng cách đọc các chuẩn mực kế toán. Từ đó, người sử dụng báo cáo tài chính mới có thể đưa ra các phân tích chính xác về hiệu quả hoạt động của công ty.</w:t>
      </w:r>
    </w:p>
    <w:p w:rsidR="002126EF" w:rsidRPr="00FB7DA8" w:rsidRDefault="002126EF" w:rsidP="00FB7DA8">
      <w:pPr>
        <w:spacing w:line="264" w:lineRule="auto"/>
        <w:ind w:firstLine="720"/>
        <w:jc w:val="both"/>
        <w:rPr>
          <w:color w:val="000000"/>
          <w:sz w:val="28"/>
          <w:szCs w:val="28"/>
        </w:rPr>
      </w:pPr>
      <w:r w:rsidRPr="00FB7DA8">
        <w:rPr>
          <w:color w:val="000000"/>
          <w:sz w:val="28"/>
          <w:szCs w:val="28"/>
        </w:rPr>
        <w:t>Một lợi ích nữa mà người sử dụng báo cáo tài chính có thể thu được từ các chuẩn mực kế toán đó là sự đảm bảo rằng  các công ty và các kiểm toán viên thực hiện việc kiểm toán báo cáo tài chính đã tuân thủ các chuẩn mực kế toán trong quá trình thực hiện nhiệm vụ của mình. Người sử dụng có thể không có kiến thức về kế toán cũng như  không đủ khả năng để hiểu được các chuẩn mực kế toán nhưng nếu họ nghi ngờ về tính trung thực và hợp lý của các báo cáo tài chính thì họ có thể thuê một tổ chức chuyên nghiệp để kiểm định việc tuân thủ các chuẩn mực kế toán của ban giám đốc các công ty cũng như của các kiểm toán viên có liên quan. Như vậy, việc ban hành các chuẩn mực kế toán là một cách để tăng thêm lòng tin cho người sử dụng báo cáo tài chính đối với các báo cáo tài chính và ngăn ngừa nguy cơ gian lận trong việc lập và trình bày báo cáo tài chính.</w:t>
      </w:r>
    </w:p>
    <w:p w:rsidR="002126EF" w:rsidRPr="00FB7DA8" w:rsidRDefault="002126EF" w:rsidP="00FB7DA8">
      <w:pPr>
        <w:pStyle w:val="Heading2"/>
        <w:spacing w:before="0" w:after="0" w:line="264" w:lineRule="auto"/>
        <w:ind w:firstLine="720"/>
        <w:jc w:val="both"/>
        <w:rPr>
          <w:rFonts w:ascii="Times New Roman" w:hAnsi="Times New Roman" w:cs="Times New Roman"/>
          <w:i w:val="0"/>
          <w:iCs w:val="0"/>
          <w:color w:val="000000"/>
        </w:rPr>
      </w:pPr>
      <w:bookmarkStart w:id="3" w:name="_Toc261404087"/>
      <w:r w:rsidRPr="00FB7DA8">
        <w:rPr>
          <w:rFonts w:ascii="Times New Roman" w:hAnsi="Times New Roman" w:cs="Times New Roman"/>
          <w:i w:val="0"/>
          <w:iCs w:val="0"/>
          <w:color w:val="000000"/>
        </w:rPr>
        <w:t>3. Phân loại chuẩn mực kế toán:</w:t>
      </w:r>
      <w:bookmarkEnd w:id="3"/>
    </w:p>
    <w:p w:rsidR="002126EF" w:rsidRPr="00FB7DA8" w:rsidRDefault="002126EF" w:rsidP="00FB7DA8">
      <w:pPr>
        <w:spacing w:line="264" w:lineRule="auto"/>
        <w:ind w:firstLine="720"/>
        <w:jc w:val="both"/>
        <w:rPr>
          <w:color w:val="000000"/>
          <w:sz w:val="28"/>
          <w:szCs w:val="28"/>
        </w:rPr>
      </w:pPr>
      <w:r w:rsidRPr="00FB7DA8">
        <w:rPr>
          <w:color w:val="000000"/>
          <w:sz w:val="28"/>
          <w:szCs w:val="28"/>
        </w:rPr>
        <w:t xml:space="preserve">Hiện nay trên thế giới đang có hai hệ thống chuẩn mực là chuẩn mực kế toán quốc tế và chuẩn mực kế toán quốc gia. </w:t>
      </w:r>
    </w:p>
    <w:p w:rsidR="002126EF" w:rsidRPr="00FB7DA8" w:rsidRDefault="002126EF" w:rsidP="00FB7DA8">
      <w:pPr>
        <w:spacing w:line="264" w:lineRule="auto"/>
        <w:ind w:firstLine="720"/>
        <w:jc w:val="both"/>
        <w:rPr>
          <w:color w:val="000000"/>
          <w:sz w:val="28"/>
          <w:szCs w:val="28"/>
        </w:rPr>
      </w:pPr>
      <w:r w:rsidRPr="00FB7DA8">
        <w:rPr>
          <w:color w:val="000000"/>
          <w:sz w:val="28"/>
          <w:szCs w:val="28"/>
        </w:rPr>
        <w:t xml:space="preserve">Các chuẩn mực kế toán quốc gia được soạn thảo và ban hành theo những cơ chế rất khác nhau ở mỗi nước. Do mỗi nước có điều kiện kinh tế và chính trị rất khác nhau nờn cỏc chuẩn mực kế toán giữa các nước có nhiều sự khác biệt. </w:t>
      </w:r>
    </w:p>
    <w:p w:rsidR="002126EF" w:rsidRPr="00FB7DA8" w:rsidRDefault="002126EF" w:rsidP="00FB7DA8">
      <w:pPr>
        <w:spacing w:line="264" w:lineRule="auto"/>
        <w:ind w:firstLine="720"/>
        <w:jc w:val="both"/>
        <w:rPr>
          <w:color w:val="000000"/>
          <w:sz w:val="28"/>
          <w:szCs w:val="28"/>
        </w:rPr>
      </w:pPr>
      <w:r w:rsidRPr="00FB7DA8">
        <w:rPr>
          <w:color w:val="000000"/>
          <w:sz w:val="28"/>
          <w:szCs w:val="28"/>
        </w:rPr>
        <w:t>Chuẩn mực kế toán quốc tế được soạn thảo và ban hành bởi Hội đồng chuẩn mực kế toán quốc tế (IASB). Mục đích của việc ban hành chuẩn mực kế toán quốc tế là để tạo ra một sự hài hòa quốc tế trong lĩnh vực kế toán, để giảm bớt các chi phí của việc các báo cáo tài chính được lập và trình bày theo những chuẩn mực kế toán có nhiều khác biệt giữa các nước. Các chuẩn mực kế toán quốc tế sau một thời gian dài phát triển đã được đón nhận bởi nhiều nước trên thế giới. Xu hướng của các nước hiện nay là cố gắng đưa chuẩn mực quốc gia tiệm cận với các chuẩn mực kế toán quốc tế.</w:t>
      </w:r>
    </w:p>
    <w:p w:rsidR="002126EF" w:rsidRPr="00FB7DA8" w:rsidRDefault="002126EF" w:rsidP="00FB7DA8">
      <w:pPr>
        <w:pStyle w:val="Heading1"/>
        <w:spacing w:before="0" w:after="0" w:line="264" w:lineRule="auto"/>
        <w:ind w:firstLine="720"/>
        <w:jc w:val="both"/>
        <w:rPr>
          <w:rFonts w:ascii="Times New Roman" w:hAnsi="Times New Roman" w:cs="Times New Roman"/>
          <w:color w:val="000000"/>
          <w:sz w:val="28"/>
          <w:szCs w:val="28"/>
        </w:rPr>
      </w:pPr>
      <w:bookmarkStart w:id="4" w:name="_Toc259077502"/>
      <w:bookmarkStart w:id="5" w:name="_Toc259077547"/>
      <w:bookmarkStart w:id="6" w:name="_Toc261404088"/>
      <w:r w:rsidRPr="00FB7DA8">
        <w:rPr>
          <w:rFonts w:ascii="Times New Roman" w:hAnsi="Times New Roman" w:cs="Times New Roman"/>
          <w:color w:val="000000"/>
          <w:sz w:val="28"/>
          <w:szCs w:val="28"/>
        </w:rPr>
        <w:t>II. Chuẩn mực kế toán quốc tế:</w:t>
      </w:r>
      <w:bookmarkEnd w:id="4"/>
      <w:bookmarkEnd w:id="5"/>
      <w:bookmarkEnd w:id="6"/>
    </w:p>
    <w:p w:rsidR="002126EF" w:rsidRPr="00FB7DA8" w:rsidRDefault="002126EF" w:rsidP="00FB7DA8">
      <w:pPr>
        <w:pStyle w:val="Heading2"/>
        <w:spacing w:before="0" w:after="0" w:line="264" w:lineRule="auto"/>
        <w:ind w:firstLine="720"/>
        <w:jc w:val="both"/>
        <w:rPr>
          <w:rFonts w:ascii="Times New Roman" w:hAnsi="Times New Roman" w:cs="Times New Roman"/>
          <w:i w:val="0"/>
          <w:iCs w:val="0"/>
          <w:color w:val="000000"/>
        </w:rPr>
      </w:pPr>
      <w:bookmarkStart w:id="7" w:name="_Toc259077503"/>
      <w:bookmarkStart w:id="8" w:name="_Toc259077548"/>
      <w:bookmarkStart w:id="9" w:name="_Toc261404089"/>
      <w:r w:rsidRPr="00FB7DA8">
        <w:rPr>
          <w:rFonts w:ascii="Times New Roman" w:hAnsi="Times New Roman" w:cs="Times New Roman"/>
          <w:i w:val="0"/>
          <w:iCs w:val="0"/>
          <w:color w:val="000000"/>
        </w:rPr>
        <w:t>1. Lịch sử hình thành và phát triển của chuẩn mực kế toán thế giới:</w:t>
      </w:r>
      <w:bookmarkEnd w:id="7"/>
      <w:bookmarkEnd w:id="8"/>
      <w:bookmarkEnd w:id="9"/>
    </w:p>
    <w:p w:rsidR="002126EF" w:rsidRPr="00FB7DA8" w:rsidRDefault="002126EF" w:rsidP="00FB7DA8">
      <w:pPr>
        <w:pStyle w:val="Heading3"/>
        <w:spacing w:before="0" w:after="0" w:line="264" w:lineRule="auto"/>
        <w:ind w:firstLine="720"/>
        <w:jc w:val="both"/>
        <w:rPr>
          <w:rFonts w:ascii="Times New Roman" w:hAnsi="Times New Roman" w:cs="Times New Roman"/>
          <w:color w:val="000000"/>
          <w:sz w:val="28"/>
          <w:szCs w:val="28"/>
        </w:rPr>
      </w:pPr>
      <w:bookmarkStart w:id="10" w:name="_Toc261404090"/>
      <w:r w:rsidRPr="00FB7DA8">
        <w:rPr>
          <w:rFonts w:ascii="Times New Roman" w:hAnsi="Times New Roman" w:cs="Times New Roman"/>
          <w:color w:val="000000"/>
          <w:sz w:val="28"/>
          <w:szCs w:val="28"/>
        </w:rPr>
        <w:t>1.1. Sự cần thiết phải có chuẩn mực kế toán quốc tế và những rào cản đối với việc hình thành chuẩn mực kế toán quốc tế:</w:t>
      </w:r>
      <w:bookmarkEnd w:id="10"/>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Sự phát triển của kế toán ở các nước thường có sự khác nhau về các qui định và cách thức hạch toán kế toán cộng thêm sự khác biệt về hệ thống kinh tế và điều kiện thương mại giữa các nước dẫn đến sự khác nhau giữa các nước về mô hình và phương pháp kế toán.</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Sự khác nhau này tạo nên nét đặc trưng của hệ thống kế toán mỗi quốc gia nhưng lại có ảnh hưởng tiêu cực đến hiệu quả của thị trường thế giới và có thể làm giảm sút khả năng hợp tác, tìm kiếm vốn để cạnh tranh một cách có hiệu quả. Trong xu thế hội nhập kinh tế quốc tế, sự tồn tại của hệ thống chuẩn mực kế toán quốc tế với vai trò là ngôn ngữ chung để làm cầu nối cho các nền kinh tế là một nhu cầu tất yếu.</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Tuy nhiên, rào cản đối với việc tạo lập các chuẩn mực kế toán chung là khá nhiều:</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 Sự khác biệt trong mục đích sử dụng báo cáo tài chính giữa các nước : ở một số nước báo cáo tài chính chỉ đơn thuần được lập cho mục đích tính thuế, còn ở nước khác là để hỗ trợ cho quá trình ra quyết định của nhà đầu tư. Điều đó sẽ khiến cho yêu cầu trình bày báo cáo chi tiết đến mức độ nào và chi tiết những khoản mục nào là khác nhau giữa các nướcDo hệ thống pháp luật khác nhau dẫn đến sự hạn chế của một số hoạt động kế toán và điều này đương nhiên sẽ được phản ánh trong các chuẩn mực kế toán.</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 xml:space="preserve">- Mỗi nước có một quan điểm khác nhau về người sử dụng báo cáo tài chính và tầm quan trọng của họ. Như ở Mỹ thì nhà đầu tư và các tổ chức tín dung được đặt ưu tiên lên hàng đầu trong khi ở Châu Âu thì người lao động lại được quan tâm nhiều hơn. </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 Các nước đang phát triển hiển nhiên đang chậm chân hơn so với các nước đã phát triển trong việc soạn thảo các chuẩn mực kế toán. Có những quy tắc và những chuẩn mực cơ bản đã được ban hành từ lâu ở các nước đã phát triển thì nay mới chỉ được các nước đang phát triển tiến hành soạn thảo.</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 Chủ nghĩa quốc gia cũng góp phần ngăn cản việc sử dụng các chuẩn mực kế toán của nước khác.</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 Sự khác biệt về văn hóa khiến cho mục tiêu của hệ thống kế toán khác nhau giữa các nước</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 xml:space="preserve">- Một vài nước phải ở vào trong những hoàn cảnh đặc biệt như siêu lạm phát, nội chiến, hạn chế lưu thông tiền tệ,… tác động tới mọi mặt của đời sống xã hội cũng như ảnh hưởng lớn tới các công ty khiến cho họ không thể lập được các báo cáo theo các tiêu chuẩn bình thường. </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 Một số nước không có một tổ chức kế toán độc lập đủ vững mạnh để tạo áp lực dư luận giúp cho việc soạn thảo các chuẩn mực kế toán tốt hơn và thúc đẩy sự hài hòa về các nguyên tắc kế toán giữa các quốc gia.</w:t>
      </w:r>
      <w:bookmarkStart w:id="11" w:name="_Toc261404091"/>
    </w:p>
    <w:p w:rsidR="002126EF" w:rsidRPr="00FB7DA8" w:rsidRDefault="002126EF" w:rsidP="00FB7DA8">
      <w:pPr>
        <w:pStyle w:val="ListParagraph"/>
        <w:spacing w:line="264" w:lineRule="auto"/>
        <w:ind w:left="0" w:firstLine="567"/>
        <w:jc w:val="both"/>
        <w:rPr>
          <w:b/>
          <w:bCs/>
          <w:color w:val="000000"/>
          <w:sz w:val="28"/>
          <w:szCs w:val="28"/>
        </w:rPr>
      </w:pPr>
      <w:r w:rsidRPr="00FB7DA8">
        <w:rPr>
          <w:b/>
          <w:bCs/>
          <w:color w:val="000000"/>
          <w:sz w:val="28"/>
          <w:szCs w:val="28"/>
        </w:rPr>
        <w:t>1.2. Sự hình thành và phát triển của tổ chức soạn thảo chuẩn mực kế toán quốc tế:</w:t>
      </w:r>
      <w:bookmarkStart w:id="12" w:name="_Toc261404092"/>
      <w:bookmarkEnd w:id="11"/>
    </w:p>
    <w:p w:rsidR="002126EF" w:rsidRPr="00FB7DA8" w:rsidRDefault="002126EF" w:rsidP="00FB7DA8">
      <w:pPr>
        <w:pStyle w:val="ListParagraph"/>
        <w:spacing w:line="264" w:lineRule="auto"/>
        <w:ind w:left="0" w:firstLine="567"/>
        <w:jc w:val="both"/>
        <w:rPr>
          <w:b/>
          <w:bCs/>
          <w:color w:val="000000"/>
          <w:sz w:val="28"/>
          <w:szCs w:val="28"/>
        </w:rPr>
      </w:pPr>
      <w:r w:rsidRPr="00FB7DA8">
        <w:rPr>
          <w:b/>
          <w:bCs/>
          <w:color w:val="000000"/>
          <w:sz w:val="28"/>
          <w:szCs w:val="28"/>
        </w:rPr>
        <w:t>1.2.1. Ủy ban xây dựng chuẩn mực kế toán quốc tế (IASC):</w:t>
      </w:r>
      <w:bookmarkStart w:id="13" w:name="_Toc261404093"/>
      <w:bookmarkEnd w:id="12"/>
    </w:p>
    <w:p w:rsidR="002126EF" w:rsidRPr="00FB7DA8" w:rsidRDefault="002126EF" w:rsidP="00FB7DA8">
      <w:pPr>
        <w:pStyle w:val="ListParagraph"/>
        <w:spacing w:line="264" w:lineRule="auto"/>
        <w:ind w:left="0" w:firstLine="567"/>
        <w:jc w:val="both"/>
        <w:rPr>
          <w:b/>
          <w:bCs/>
          <w:color w:val="000000"/>
          <w:sz w:val="28"/>
          <w:szCs w:val="28"/>
        </w:rPr>
      </w:pPr>
      <w:r w:rsidRPr="00FB7DA8">
        <w:rPr>
          <w:b/>
          <w:bCs/>
          <w:color w:val="000000"/>
          <w:sz w:val="28"/>
          <w:szCs w:val="28"/>
        </w:rPr>
        <w:t>1.2.1.1. Ra đời năm 1973 ở London, nước Anh</w:t>
      </w:r>
      <w:bookmarkEnd w:id="13"/>
      <w:r w:rsidRPr="00FB7DA8">
        <w:rPr>
          <w:b/>
          <w:bCs/>
          <w:color w:val="000000"/>
          <w:sz w:val="28"/>
          <w:szCs w:val="28"/>
        </w:rPr>
        <w:t>:</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 xml:space="preserve">Thế nhưng, bất chấp những rào cản kể trên, năm 1973, Ủy ban xây dựng chuẩn mực kế toán quốc tế (IASC) đã ra đời tại London, nước Anh với tư cách là tổ chức soạn thảo chuẩn mực quốc tế đầu tiên trên thế. Sự ra đời của IASC là kết quả của một thỏa thuận giữa các hiệp hội nghề nghiệp của các nước Autralia, Canada, Pháp, Đức, Nhật,Mexico, Phần Lan, Anh, Ireland và Mỹ. </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IASC được thành lập trong một thời kỳ chứng nhiều biến động trong quy định kế toán. Ở Mỹ, hội đồng chuẩn mực kế toán tài chính (FASB) vừa mới được thành lập. Ở Anh, cơ quan soạn thảo chuẩn mực quốc gia đầu tiên ra đời (accounting standads committee – ASC). Trong khi đó, EU đang soạn thảo những điểm chính trong kế hoạch hài hòa hóa hệ thống kế toán của riêng mình (được đánh dấu bởi sự ra đời của chỉ thị số bốn (fourth directive) ban hành ngày 25/7/1978 bởi hội đồng liên minh Châu Âu). UN và OECD tại thời điểm này cũng vừa mới thành lập hội đồng kế toán của riêng mình.</w:t>
      </w:r>
    </w:p>
    <w:p w:rsidR="002126EF" w:rsidRPr="00FB7DA8" w:rsidRDefault="002126EF" w:rsidP="00FB7DA8">
      <w:pPr>
        <w:pStyle w:val="Heading3"/>
        <w:spacing w:before="0" w:after="0" w:line="264" w:lineRule="auto"/>
        <w:ind w:firstLine="540"/>
        <w:jc w:val="both"/>
        <w:rPr>
          <w:rFonts w:ascii="Times New Roman" w:hAnsi="Times New Roman" w:cs="Times New Roman"/>
          <w:color w:val="000000"/>
          <w:sz w:val="28"/>
          <w:szCs w:val="28"/>
        </w:rPr>
      </w:pPr>
      <w:bookmarkStart w:id="14" w:name="_Toc261404094"/>
      <w:r w:rsidRPr="00FB7DA8">
        <w:rPr>
          <w:rFonts w:ascii="Times New Roman" w:hAnsi="Times New Roman" w:cs="Times New Roman"/>
          <w:color w:val="000000"/>
          <w:sz w:val="28"/>
          <w:szCs w:val="28"/>
        </w:rPr>
        <w:t>1.2.1.2. Giai đoạn nỗ lực để tồn tại như một tổ chức độc lập với IFAC và duy trì vai trò là tổ chức duy nhất soạn thảo các chuẩn mực kế toán quốc tế :</w:t>
      </w:r>
      <w:bookmarkEnd w:id="14"/>
    </w:p>
    <w:p w:rsidR="002126EF" w:rsidRPr="00FB7DA8" w:rsidRDefault="002126EF" w:rsidP="00FB7DA8">
      <w:pPr>
        <w:pStyle w:val="ListParagraph"/>
        <w:spacing w:line="264" w:lineRule="auto"/>
        <w:ind w:left="0" w:firstLine="540"/>
        <w:jc w:val="both"/>
        <w:rPr>
          <w:color w:val="000000"/>
          <w:sz w:val="28"/>
          <w:szCs w:val="28"/>
        </w:rPr>
      </w:pPr>
      <w:r w:rsidRPr="00FB7DA8">
        <w:rPr>
          <w:color w:val="000000"/>
          <w:sz w:val="28"/>
          <w:szCs w:val="28"/>
        </w:rPr>
        <w:t xml:space="preserve">Đến năm 1977, Liên đoàn kế toán quốc tế (IFAC) được thành lập. IASC đã phải đấu tranh quyết liệt để kháng cự lại những nỗ lực muốn biến IASC thành thành viên của IFAC. Cuối cùng, IASC phải đi đến một nhượng bộ là dù cho IASB vẫn tồn tại độc lập với IFAC nhưng các thành viên của IFAC tự động trở thành viên của IASC và IFAC có thể đề cử thành viên cho cơ quan soạn thảo các chuẩn mực kế toán quốc tế. </w:t>
      </w:r>
    </w:p>
    <w:p w:rsidR="002126EF" w:rsidRPr="00FB7DA8" w:rsidRDefault="002126EF" w:rsidP="00FB7DA8">
      <w:pPr>
        <w:pStyle w:val="ListParagraph"/>
        <w:spacing w:line="264" w:lineRule="auto"/>
        <w:ind w:left="0" w:firstLine="540"/>
        <w:jc w:val="both"/>
        <w:rPr>
          <w:color w:val="000000"/>
          <w:sz w:val="28"/>
          <w:szCs w:val="28"/>
        </w:rPr>
      </w:pPr>
      <w:r w:rsidRPr="00FB7DA8">
        <w:rPr>
          <w:color w:val="000000"/>
          <w:sz w:val="28"/>
          <w:szCs w:val="28"/>
        </w:rPr>
        <w:t xml:space="preserve">Cả UN và OECD trong giai đoạn những năm 70 của thế kỷ 19 đều rất tích cực soạn thảo những nguyên tắc kế toán quốc tế. Thế nhưng, IASC đã thành công trong việc thuyết phục UN và OECD hãy để IASC soạn thảo những nguyên tắc quốc tế về ghi nhận và xác định giá trị của các đối tượng kế toán. </w:t>
      </w:r>
    </w:p>
    <w:p w:rsidR="002126EF" w:rsidRPr="00FB7DA8" w:rsidRDefault="002126EF" w:rsidP="00FB7DA8">
      <w:pPr>
        <w:pStyle w:val="ListParagraph"/>
        <w:tabs>
          <w:tab w:val="left" w:pos="3194"/>
        </w:tabs>
        <w:spacing w:line="264" w:lineRule="auto"/>
        <w:ind w:left="0" w:firstLine="567"/>
        <w:jc w:val="both"/>
        <w:rPr>
          <w:color w:val="000000"/>
          <w:sz w:val="28"/>
          <w:szCs w:val="28"/>
        </w:rPr>
      </w:pPr>
      <w:r w:rsidRPr="00FB7DA8">
        <w:rPr>
          <w:color w:val="000000"/>
          <w:sz w:val="28"/>
          <w:szCs w:val="28"/>
        </w:rPr>
        <w:t xml:space="preserve">Như vậy, IASC đã thành công trong việc duy trì vai trò của mình là tổ chức soạn thảo chuẩn mực kế toán quốc tế </w:t>
      </w:r>
      <w:r w:rsidRPr="00FB7DA8">
        <w:rPr>
          <w:b/>
          <w:bCs/>
          <w:i/>
          <w:iCs/>
          <w:color w:val="000000"/>
          <w:sz w:val="28"/>
          <w:szCs w:val="28"/>
        </w:rPr>
        <w:t>duy nhất</w:t>
      </w:r>
      <w:r w:rsidRPr="00FB7DA8">
        <w:rPr>
          <w:color w:val="000000"/>
          <w:sz w:val="28"/>
          <w:szCs w:val="28"/>
        </w:rPr>
        <w:t xml:space="preserve"> trên thế giới. Tuy nhiên, IASC lại gặp khó khăn trong việc thuyết phục mọi người sử dụng các chuẩn mực do chính mình soạn thảo ra. Dù cho các thành viên của IASC đã cam kết thúc đẩy việc sử dụng các chuẩn mực kế toán quốc tế ở mỗi quốc gia nhưng trên thực tế thì một số hiệp hội nghề nghiệp thành viên lại ít có ảnh hưởng trong việc soạn thảo các chuẩn mực kế toán quốc gia, một số hiệp hội thành viên lại ưa chuộng chuẩn mực kế toán của quốc gia mình hơn là những chuẩn mực kế toán do IASC soạn thảo và ban hành.</w:t>
      </w:r>
      <w:bookmarkStart w:id="15" w:name="_Toc261404095"/>
    </w:p>
    <w:p w:rsidR="002126EF" w:rsidRPr="00FB7DA8" w:rsidRDefault="002126EF" w:rsidP="00FB7DA8">
      <w:pPr>
        <w:pStyle w:val="ListParagraph"/>
        <w:tabs>
          <w:tab w:val="left" w:pos="3194"/>
        </w:tabs>
        <w:spacing w:line="264" w:lineRule="auto"/>
        <w:ind w:left="0" w:firstLine="567"/>
        <w:jc w:val="both"/>
        <w:rPr>
          <w:color w:val="000000"/>
          <w:sz w:val="28"/>
          <w:szCs w:val="28"/>
        </w:rPr>
      </w:pPr>
      <w:r w:rsidRPr="00FB7DA8">
        <w:rPr>
          <w:rStyle w:val="Heading3Char1"/>
          <w:rFonts w:ascii="Times New Roman" w:hAnsi="Times New Roman" w:cs="Times New Roman"/>
          <w:color w:val="000000"/>
          <w:sz w:val="28"/>
          <w:szCs w:val="28"/>
        </w:rPr>
        <w:t>1.2.1.3. Những nỗ lực tìm kiếm sự tiếp nhận của cộng đồng thế giới đối với những chuẩn mực  kế toán quốc tế của IASC</w:t>
      </w:r>
      <w:bookmarkEnd w:id="15"/>
      <w:r w:rsidRPr="00FB7DA8">
        <w:rPr>
          <w:color w:val="000000"/>
          <w:sz w:val="28"/>
          <w:szCs w:val="28"/>
        </w:rPr>
        <w:t>:</w:t>
      </w:r>
    </w:p>
    <w:p w:rsidR="002126EF" w:rsidRPr="00FB7DA8" w:rsidRDefault="002126EF" w:rsidP="00FB7DA8">
      <w:pPr>
        <w:pStyle w:val="ListParagraph"/>
        <w:tabs>
          <w:tab w:val="left" w:pos="3194"/>
        </w:tabs>
        <w:spacing w:line="264" w:lineRule="auto"/>
        <w:ind w:left="0" w:firstLine="567"/>
        <w:jc w:val="both"/>
        <w:rPr>
          <w:color w:val="000000"/>
          <w:sz w:val="28"/>
          <w:szCs w:val="28"/>
        </w:rPr>
      </w:pPr>
      <w:r w:rsidRPr="00FB7DA8">
        <w:rPr>
          <w:color w:val="000000"/>
          <w:sz w:val="28"/>
          <w:szCs w:val="28"/>
        </w:rPr>
        <w:t xml:space="preserve">Năm 1987 đánh dấu một bước chuyển mới trong nỗ lực thúc đẩy việc sử dụng các chuẩn mực quốc tế của IASC. Được sự ủng hộ và khích lệ từ ủy ban chứng khoán Mỹ (US SEC), tổng thư ký IASC, ông David Cairns, đã ký một thỏa thuận với tổ chức thế giới các ủy ban chứng khoán (IOSCO). Theo đó, IASC sẽ xem xét sửa đổi các chuẩn mực kế toán quốc tế hiện có của mình để có thể thỏa mãn nhu cầu của IOSCO là cần có một tập hợp các chuẩn mực làm cơ sở chung cho việc lập và trình bày báo cáo tài chính của các công ty muốn được niêm yết trên thị trường chứng khoán nước ngoài. </w:t>
      </w:r>
    </w:p>
    <w:p w:rsidR="002126EF" w:rsidRPr="00FB7DA8" w:rsidRDefault="002126EF" w:rsidP="00FB7DA8">
      <w:pPr>
        <w:pStyle w:val="ListParagraph"/>
        <w:tabs>
          <w:tab w:val="left" w:pos="3194"/>
        </w:tabs>
        <w:spacing w:line="264" w:lineRule="auto"/>
        <w:ind w:left="0" w:firstLine="567"/>
        <w:jc w:val="both"/>
        <w:rPr>
          <w:color w:val="000000"/>
          <w:sz w:val="28"/>
          <w:szCs w:val="28"/>
        </w:rPr>
      </w:pPr>
      <w:r w:rsidRPr="00FB7DA8">
        <w:rPr>
          <w:color w:val="000000"/>
          <w:sz w:val="28"/>
          <w:szCs w:val="28"/>
        </w:rPr>
        <w:t xml:space="preserve">IASC đã hoàn thành việc sửa đổi các chuẩn mực kế toán quốc tế vào năm 1993. Thế nhưng, IOSCO đã đưa ra một quyết định làm cho IASC vô cùng thất vọng. Thay vì sử dụng toàn bộ bộ chuẩn mực kế toán quốc tế do IASC soạn thảo, IOSCO chỉ lựa chọn một số chuẩn mực để áp dụng. </w:t>
      </w:r>
    </w:p>
    <w:p w:rsidR="002126EF" w:rsidRPr="00FB7DA8" w:rsidRDefault="002126EF" w:rsidP="00FB7DA8">
      <w:pPr>
        <w:pStyle w:val="ListParagraph"/>
        <w:tabs>
          <w:tab w:val="left" w:pos="3194"/>
        </w:tabs>
        <w:spacing w:line="264" w:lineRule="auto"/>
        <w:ind w:left="0" w:firstLine="567"/>
        <w:jc w:val="both"/>
        <w:rPr>
          <w:color w:val="000000"/>
          <w:sz w:val="28"/>
          <w:szCs w:val="28"/>
        </w:rPr>
      </w:pPr>
      <w:r w:rsidRPr="00FB7DA8">
        <w:rPr>
          <w:color w:val="000000"/>
          <w:sz w:val="28"/>
          <w:szCs w:val="28"/>
        </w:rPr>
        <w:t>Đến năm 1995, IASC với một ban lãnh đạo hoàn toàn mới đã tiến hành xem xét và sửa đổi một lần nữa các chuẩn mực kế toán quốc tế đã được ban hành với mong muốn khắc phục những khiếm khuyết trong các chuẩn mực kế toán đó. Lần này, với rất nhiều nỗ lực và nhượng bộ, bộ chuẩn mực kế toán quốc tế đã được sửa đổi của IASC đã được IOSCO chấp nhận vào phỳt chút nhưng đó chỉ mới là sự chấp nhận tạm thời.</w:t>
      </w:r>
    </w:p>
    <w:p w:rsidR="002126EF" w:rsidRPr="00FB7DA8" w:rsidRDefault="002126EF" w:rsidP="00FB7DA8">
      <w:pPr>
        <w:pStyle w:val="ListParagraph"/>
        <w:tabs>
          <w:tab w:val="left" w:pos="3194"/>
        </w:tabs>
        <w:spacing w:line="264" w:lineRule="auto"/>
        <w:ind w:left="0" w:firstLine="567"/>
        <w:jc w:val="both"/>
        <w:rPr>
          <w:color w:val="000000"/>
          <w:sz w:val="28"/>
          <w:szCs w:val="28"/>
        </w:rPr>
      </w:pPr>
      <w:r w:rsidRPr="00FB7DA8">
        <w:rPr>
          <w:color w:val="000000"/>
          <w:sz w:val="28"/>
          <w:szCs w:val="28"/>
        </w:rPr>
        <w:t>Cùng thời gian đó, IASC cũng quan tâm xem xét tới việc tổ chức lại cơ cấu của mình. Trong vòng 25 năm kể từ khi IASC được thành lập, mô hình soạn thảo chuẩn mực kế toán mà theo đó việc soạn thảo các chuẩn mực là do các hội nghề nghiệp đảm trách, đã và đang dần được thay thể bởi mô hình mới. Đó là mô hình mà việc soạn thảo các chuẩn mực kế toán được giao cho một hội  đồng quốc gia chuyên trách và độc lập thay vì cho một hội nghề nghiệp kế toán đảm trách. Sự chuyển đổi này có thể thấy ở Anh và Mỹ. Ở Mỹ, việc soạn thảo chuẩn mực kế toán được giao cho hội đồng chuẩn mực kế toán tài chính (FASB) thay vì cho hiệp hội kế toán công chứng Mỹ (AICPA). Còn ở Anh là giao cho ủy ban chuẩn mực kế toán (ASC) sau đổi thành hội đồng chuẩn mực kế toán (ASB) thay vì cho hiệp hội kế toán công chứng Anh (ACCA).</w:t>
      </w:r>
      <w:bookmarkStart w:id="16" w:name="_Toc261404096"/>
    </w:p>
    <w:p w:rsidR="002126EF" w:rsidRPr="00FB7DA8" w:rsidRDefault="002126EF" w:rsidP="00FB7DA8">
      <w:pPr>
        <w:pStyle w:val="ListParagraph"/>
        <w:tabs>
          <w:tab w:val="left" w:pos="3194"/>
        </w:tabs>
        <w:spacing w:line="264" w:lineRule="auto"/>
        <w:ind w:left="0" w:firstLine="567"/>
        <w:jc w:val="both"/>
        <w:rPr>
          <w:b/>
          <w:bCs/>
          <w:color w:val="000000"/>
          <w:sz w:val="28"/>
          <w:szCs w:val="28"/>
        </w:rPr>
      </w:pPr>
      <w:r w:rsidRPr="00FB7DA8">
        <w:rPr>
          <w:b/>
          <w:bCs/>
          <w:color w:val="000000"/>
          <w:sz w:val="28"/>
          <w:szCs w:val="28"/>
        </w:rPr>
        <w:t>1.2.1.4. Mốc son năm 2000:</w:t>
      </w:r>
      <w:bookmarkEnd w:id="16"/>
    </w:p>
    <w:p w:rsidR="002126EF" w:rsidRPr="00FB7DA8" w:rsidRDefault="002126EF" w:rsidP="00FB7DA8">
      <w:pPr>
        <w:pStyle w:val="ListParagraph"/>
        <w:tabs>
          <w:tab w:val="left" w:pos="3194"/>
        </w:tabs>
        <w:spacing w:line="264" w:lineRule="auto"/>
        <w:ind w:left="0" w:firstLine="540"/>
        <w:jc w:val="both"/>
        <w:rPr>
          <w:color w:val="000000"/>
          <w:sz w:val="28"/>
          <w:szCs w:val="28"/>
        </w:rPr>
      </w:pPr>
      <w:r w:rsidRPr="00FB7DA8">
        <w:rPr>
          <w:color w:val="000000"/>
          <w:sz w:val="28"/>
          <w:szCs w:val="28"/>
        </w:rPr>
        <w:t xml:space="preserve">Năm 2000 có thể nói là một năm có nhiều biến động với IASC. Tháng 5 năm 2000, các thành viên IOSCO đã bỏ phiếu chấp nhận chính thức tất cả các chuẩn mực kế toán quốc tế của IASC. Đây là một bước tiến đáng kể sau rất nhiều nỗ lực kiên trì và bền bỉ của các thành viên IASC với hai lần sửa đổi chuẩn mực kế toán kế toán quốc tế vào năm 1993 và 1995. Giấc mơ về một bộ chuẩn mực kế toán chung được sử dụng rộng rãi trên toàn thế giới đã có cơ hội được trở thành hiện thực bất chấp rất nhiều khó khăn và rào cản. IASC cuối cùng đã nhận được sự hậu thuẫn của các cơ quan quản lý chứng khoán toàn cầu thông qua IOSCO. </w:t>
      </w:r>
    </w:p>
    <w:p w:rsidR="002126EF" w:rsidRPr="00FB7DA8" w:rsidRDefault="002126EF" w:rsidP="00FB7DA8">
      <w:pPr>
        <w:pStyle w:val="ListParagraph"/>
        <w:tabs>
          <w:tab w:val="left" w:pos="3194"/>
        </w:tabs>
        <w:spacing w:line="264" w:lineRule="auto"/>
        <w:ind w:left="0" w:firstLine="540"/>
        <w:jc w:val="both"/>
        <w:rPr>
          <w:color w:val="000000"/>
          <w:sz w:val="28"/>
          <w:szCs w:val="28"/>
        </w:rPr>
      </w:pPr>
      <w:r w:rsidRPr="00FB7DA8">
        <w:rPr>
          <w:color w:val="000000"/>
          <w:sz w:val="28"/>
          <w:szCs w:val="28"/>
        </w:rPr>
        <w:t xml:space="preserve">Tháng 6 năm 2000, Cao Ủy Châu Âu đưa ra tuyên bố sẽ đưa việc sử dụng các chuẩn mực kế toán quốc tế của IASC trong việc lập trình và trình bày báo cáo tài chính làm điều kiện cho các công ty có ý định niêm yết chứng khoán tại bất kỳ nước thành viên nào của Liên Minh Châu Âu (EU). Đây là một thành công ngoài sự mong đợi của IASC. Kể từ thời điểm đó, EU đã trở thành một tổ chức có ảnh hưởng mạnh mẽ đối với tiến trình thúc đẩy sự tiếp nhận của cộng đồng thế giới đối với các chuẩn mực kế toán quốc tế. Quả thực, sự hậu thuẫn từng một thời là cứu cánh của IOSCO đối với IASC nay đã giảm bớt tầm quan trọng trước tuyên bố trên của Cao Ủy Châu Âu. </w:t>
      </w:r>
    </w:p>
    <w:p w:rsidR="002126EF" w:rsidRPr="00FB7DA8" w:rsidRDefault="002126EF" w:rsidP="00FB7DA8">
      <w:pPr>
        <w:pStyle w:val="ListParagraph"/>
        <w:tabs>
          <w:tab w:val="left" w:pos="3194"/>
        </w:tabs>
        <w:spacing w:line="264" w:lineRule="auto"/>
        <w:ind w:left="0" w:firstLine="540"/>
        <w:jc w:val="both"/>
        <w:rPr>
          <w:color w:val="000000"/>
          <w:sz w:val="28"/>
          <w:szCs w:val="28"/>
        </w:rPr>
      </w:pPr>
      <w:r w:rsidRPr="00FB7DA8">
        <w:rPr>
          <w:color w:val="000000"/>
          <w:sz w:val="28"/>
          <w:szCs w:val="28"/>
        </w:rPr>
        <w:t>Tiếp đú, thỏng 7 năm 2000, các thành viên của IASC đã bỏ phiếu tán thành chuyển đổi cơ cấu từ chỗ dựa trờn cỏc hiệp hội nghề nghiệp thành một hội đồng soạn thảo chuẩn mực kế toán chuyên trách và độc lập với các hội nghề nghiệp. Ủy ban xây dựng chuẩn mực kế toán quốc tế (IASC) chính thức đổi tên thành Hội đồng kế toán quốc tế (IASB).</w:t>
      </w:r>
      <w:bookmarkStart w:id="17" w:name="_Toc261404097"/>
    </w:p>
    <w:p w:rsidR="002126EF" w:rsidRPr="00FB7DA8" w:rsidRDefault="002126EF" w:rsidP="00FB7DA8">
      <w:pPr>
        <w:pStyle w:val="ListParagraph"/>
        <w:tabs>
          <w:tab w:val="left" w:pos="3194"/>
        </w:tabs>
        <w:spacing w:line="264" w:lineRule="auto"/>
        <w:ind w:left="0" w:firstLine="540"/>
        <w:jc w:val="both"/>
        <w:rPr>
          <w:b/>
          <w:bCs/>
          <w:color w:val="000000"/>
          <w:sz w:val="28"/>
          <w:szCs w:val="28"/>
        </w:rPr>
      </w:pPr>
      <w:r w:rsidRPr="00FB7DA8">
        <w:rPr>
          <w:b/>
          <w:bCs/>
          <w:color w:val="000000"/>
          <w:sz w:val="28"/>
          <w:szCs w:val="28"/>
        </w:rPr>
        <w:t>1.2.2. Hội đồng chuẩn mực kế toán quốc tế (IASB):</w:t>
      </w:r>
      <w:bookmarkEnd w:id="17"/>
      <w:r w:rsidRPr="00FB7DA8">
        <w:rPr>
          <w:b/>
          <w:bCs/>
          <w:color w:val="000000"/>
          <w:sz w:val="28"/>
          <w:szCs w:val="28"/>
        </w:rPr>
        <w:t xml:space="preserve"> </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Đến năm 2001, Hội đồng chuẩn mực kế toán quốc tế (IASB – International Accounting Standards Board) ra đời thay thế IASC và tồn tại cho đến ngày nay. Cấu trúc của IASB có những cơ quan như sau:</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 xml:space="preserve"> Đứng đầu là Ban quản trị ủy ban xây dựng chuẩn mực kế toán quốc tế (IASC foundation). Đây là một pháp nhân độc lập gồm hai bộ phận – các ủy viên quản trị (trustee) và IASB. Ban quản trị ủy ban xây dựng chuẩn mực kế toán quốc tế là cơ quan nắm giữ bản quyền của các chuẩn mực kế toán quốc tế và các văn bản khác của IASB.</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 xml:space="preserve"> Các ủy viên quản trị chỉ định các thành viên của IASB, thực hiện việc giám sát và gây quỹ  cần thiết. Còn IASB có toàn bộ trách nhiệm đối với việc soạn thảo các chuẩn mực kế toán </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Ngoài ra, cơ cấu của IASB còn bao gồm hai cơ quan nữa là Hội đồng tư vấn chuẩn mực (Standards Advisory Council –SAC) và ủy ban giải thích các chuẩn mực kế toán quốc tế(International Financial Reporting Interpretations Committee – IFRI</w:t>
      </w:r>
    </w:p>
    <w:p w:rsidR="002126EF" w:rsidRPr="00FB7DA8" w:rsidRDefault="002126EF" w:rsidP="00FB7DA8">
      <w:pPr>
        <w:pStyle w:val="ListParagraph"/>
        <w:tabs>
          <w:tab w:val="left" w:pos="3194"/>
        </w:tabs>
        <w:spacing w:line="264" w:lineRule="auto"/>
        <w:ind w:left="0" w:firstLine="567"/>
        <w:jc w:val="both"/>
        <w:rPr>
          <w:color w:val="000000"/>
          <w:sz w:val="28"/>
          <w:szCs w:val="28"/>
        </w:rPr>
      </w:pPr>
    </w:p>
    <w:p w:rsidR="002126EF" w:rsidRPr="00FB7DA8" w:rsidRDefault="002126EF" w:rsidP="00FB7DA8">
      <w:pPr>
        <w:pStyle w:val="ListParagraph"/>
        <w:tabs>
          <w:tab w:val="left" w:pos="3194"/>
        </w:tabs>
        <w:spacing w:line="264" w:lineRule="auto"/>
        <w:ind w:left="0" w:firstLine="567"/>
        <w:jc w:val="both"/>
        <w:rPr>
          <w:color w:val="000000"/>
          <w:sz w:val="28"/>
          <w:szCs w:val="28"/>
        </w:rPr>
      </w:pPr>
      <w:r>
        <w:rPr>
          <w:noProof/>
        </w:rPr>
        <w:pict>
          <v:group id="_x0000_s1026" style="position:absolute;left:0;text-align:left;margin-left:-36.1pt;margin-top:-.45pt;width:510.35pt;height:341.55pt;z-index:251658240" coordorigin="725,7374" coordsize="10207,6831">
            <v:rect id="_x0000_s1027" style="position:absolute;left:6470;top:7374;width:3843;height:900">
              <v:textbox>
                <w:txbxContent>
                  <w:p w:rsidR="002126EF" w:rsidRPr="00D74622" w:rsidRDefault="002126EF" w:rsidP="00E5731F">
                    <w:r>
                      <w:t>Ban quản trị ủy ban xây dựng chuẩn mực kế toán quốc tế (22 ủy viên)</w:t>
                    </w:r>
                  </w:p>
                </w:txbxContent>
              </v:textbox>
            </v:rect>
            <v:rect id="_x0000_s1028" style="position:absolute;left:7089;top:8862;width:3843;height:649">
              <v:textbox>
                <w:txbxContent>
                  <w:p w:rsidR="002126EF" w:rsidRPr="00D74622" w:rsidRDefault="002126EF" w:rsidP="00E5731F">
                    <w:r>
                      <w:t>Hội đồng chuẩn mực kế toán quốc tế (14 thành viên)</w:t>
                    </w:r>
                  </w:p>
                </w:txbxContent>
              </v:textbox>
            </v:rect>
            <v:rect id="_x0000_s1029" style="position:absolute;left:8144;top:10271;width:2788;height:1085">
              <v:textbox>
                <w:txbxContent>
                  <w:p w:rsidR="002126EF" w:rsidRPr="00D74622" w:rsidRDefault="002126EF" w:rsidP="00E5731F">
                    <w:r>
                      <w:t>Ủy ban giải thích các chuẩn mực kế toán quốc tế (12 thành viên)</w:t>
                    </w:r>
                  </w:p>
                </w:txbxContent>
              </v:textbox>
            </v:rect>
            <v:rect id="_x0000_s1030" style="position:absolute;left:2345;top:10613;width:3376;height:457">
              <v:textbox>
                <w:txbxContent>
                  <w:p w:rsidR="002126EF" w:rsidRPr="00D74622" w:rsidRDefault="002126EF" w:rsidP="00E5731F">
                    <w:pPr>
                      <w:jc w:val="center"/>
                    </w:pPr>
                    <w:r>
                      <w:t>Hội đồng tư vấn chuẩn mực</w:t>
                    </w:r>
                  </w:p>
                </w:txbxContent>
              </v:textbox>
            </v:rect>
            <v:rect id="_x0000_s1031" style="position:absolute;left:725;top:8453;width:2815;height:1080">
              <v:textbox>
                <w:txbxContent>
                  <w:p w:rsidR="002126EF" w:rsidRDefault="002126EF" w:rsidP="00E5731F">
                    <w:pPr>
                      <w:jc w:val="center"/>
                    </w:pPr>
                    <w:r>
                      <w:t>Các tổ chức soạn thảo chuẩn mực kế toán quốc gia và các bên liên  quan</w:t>
                    </w:r>
                  </w:p>
                  <w:p w:rsidR="002126EF" w:rsidRPr="00D74622" w:rsidRDefault="002126EF" w:rsidP="00E5731F"/>
                </w:txbxContent>
              </v:textbox>
            </v:rect>
            <v:shapetype id="_x0000_t32" coordsize="21600,21600" o:spt="32" o:oned="t" path="m,l21600,21600e" filled="f">
              <v:path arrowok="t" fillok="f" o:connecttype="none"/>
              <o:lock v:ext="edit" shapetype="t"/>
            </v:shapetype>
            <v:shape id="_x0000_s1032" type="#_x0000_t32" style="position:absolute;left:4543;top:7826;width:1927;height:0;flip:x" o:connectortype="straight" strokecolor="red"/>
            <v:shape id="_x0000_s1033" type="#_x0000_t32" style="position:absolute;left:1265;top:9533;width:1;height:1285" o:connectortype="straight" strokecolor="#7030a0"/>
            <v:shape id="_x0000_s1034" type="#_x0000_t32" style="position:absolute;left:1265;top:10793;width:1080;height:0" o:connectortype="straight" strokecolor="#7030a0">
              <v:stroke endarrow="block"/>
            </v:shape>
            <v:shape id="_x0000_s1035" type="#_x0000_t32" style="position:absolute;left:5765;top:10793;width:2383;height:0" o:connectortype="straight" strokecolor="#0cf">
              <v:stroke endarrow="block"/>
            </v:shape>
            <v:shape id="_x0000_s1036" type="#_x0000_t32" style="position:absolute;left:9340;top:9511;width:3;height:760;flip:y" o:connectortype="straight" strokecolor="#92d050">
              <v:stroke endarrow="block"/>
            </v:shape>
            <v:shape id="_x0000_s1037" type="#_x0000_t32" style="position:absolute;left:9340;top:8241;width:3;height:621;flip:y" o:connectortype="straight" strokecolor="#92d050">
              <v:stroke endarrow="block"/>
            </v:shape>
            <v:rect id="_x0000_s1038" style="position:absolute;left:2885;top:11865;width:5172;height:2340">
              <v:textbox>
                <w:txbxContent>
                  <w:p w:rsidR="002126EF" w:rsidRDefault="002126EF" w:rsidP="00E5731F">
                    <w:pPr>
                      <w:spacing w:line="380" w:lineRule="atLeast"/>
                    </w:pPr>
                    <w:r>
                      <w:t>Chú thích</w:t>
                    </w:r>
                  </w:p>
                  <w:p w:rsidR="002126EF" w:rsidRDefault="002126EF" w:rsidP="00E5731F">
                    <w:pPr>
                      <w:spacing w:line="380" w:lineRule="atLeast"/>
                    </w:pPr>
                    <w:r>
                      <w:t xml:space="preserve">Bổ nhiệm                  </w:t>
                    </w:r>
                  </w:p>
                  <w:p w:rsidR="002126EF" w:rsidRDefault="002126EF" w:rsidP="00E5731F">
                    <w:pPr>
                      <w:spacing w:line="380" w:lineRule="atLeast"/>
                    </w:pPr>
                    <w:r>
                      <w:t xml:space="preserve">Báo cáo cho </w:t>
                    </w:r>
                  </w:p>
                  <w:p w:rsidR="002126EF" w:rsidRDefault="002126EF" w:rsidP="00E5731F">
                    <w:pPr>
                      <w:spacing w:line="380" w:lineRule="atLeast"/>
                    </w:pPr>
                    <w:r>
                      <w:t>Có liên hệ với</w:t>
                    </w:r>
                  </w:p>
                  <w:p w:rsidR="002126EF" w:rsidRDefault="002126EF" w:rsidP="00E5731F">
                    <w:pPr>
                      <w:spacing w:line="380" w:lineRule="atLeast"/>
                    </w:pPr>
                    <w:r>
                      <w:t xml:space="preserve">Tham vấn </w:t>
                    </w:r>
                  </w:p>
                  <w:p w:rsidR="002126EF" w:rsidRDefault="002126EF" w:rsidP="00E5731F"/>
                  <w:p w:rsidR="002126EF" w:rsidRPr="0059186C" w:rsidRDefault="002126EF" w:rsidP="00E5731F"/>
                </w:txbxContent>
              </v:textbox>
            </v:rect>
            <v:shape id="_x0000_s1039" type="#_x0000_t32" style="position:absolute;left:5405;top:12585;width:1977;height:10;flip:y" o:connectortype="straight" strokecolor="red">
              <v:stroke endarrow="block"/>
            </v:shape>
            <v:shape id="_x0000_s1040" type="#_x0000_t32" style="position:absolute;left:5405;top:12945;width:1977;height:10;flip:y" o:connectortype="straight" strokecolor="#92d050">
              <v:stroke endarrow="block"/>
            </v:shape>
            <v:shape id="_x0000_s1041" type="#_x0000_t32" style="position:absolute;left:5405;top:13305;width:1977;height:10;flip:y" o:connectortype="straight" strokecolor="#7030a0">
              <v:stroke endarrow="block"/>
            </v:shape>
            <v:shape id="_x0000_s1042" type="#_x0000_t32" style="position:absolute;left:5405;top:13665;width:1977;height:10;flip:y" o:connectortype="straight" strokecolor="#00b0f0">
              <v:stroke endarrow="block"/>
            </v:shape>
            <v:line id="_x0000_s1043" style="position:absolute;flip:x" from="4502,7800" to="4529,10614" strokecolor="red">
              <v:stroke endarrow="block"/>
            </v:line>
            <v:line id="_x0000_s1044" style="position:absolute" from="8105,8273" to="8105,8813" strokecolor="red">
              <v:stroke endarrow="block"/>
            </v:line>
            <v:line id="_x0000_s1045" style="position:absolute;flip:y" from="5045,8273" to="6485,10613" strokecolor="#0cf">
              <v:stroke endarrow="block"/>
            </v:line>
          </v:group>
        </w:pict>
      </w:r>
    </w:p>
    <w:p w:rsidR="002126EF" w:rsidRPr="00FB7DA8" w:rsidRDefault="002126EF" w:rsidP="00FB7DA8">
      <w:pPr>
        <w:pStyle w:val="ListParagraph"/>
        <w:tabs>
          <w:tab w:val="left" w:pos="3194"/>
        </w:tabs>
        <w:spacing w:line="264" w:lineRule="auto"/>
        <w:ind w:left="0" w:firstLine="567"/>
        <w:jc w:val="both"/>
        <w:rPr>
          <w:color w:val="000000"/>
          <w:sz w:val="28"/>
          <w:szCs w:val="28"/>
        </w:rPr>
      </w:pPr>
    </w:p>
    <w:p w:rsidR="002126EF" w:rsidRPr="00FB7DA8" w:rsidRDefault="002126EF" w:rsidP="00FB7DA8">
      <w:pPr>
        <w:pStyle w:val="ListParagraph"/>
        <w:tabs>
          <w:tab w:val="left" w:pos="3194"/>
        </w:tabs>
        <w:spacing w:line="264" w:lineRule="auto"/>
        <w:ind w:left="0" w:firstLine="567"/>
        <w:jc w:val="both"/>
        <w:rPr>
          <w:color w:val="000000"/>
          <w:sz w:val="28"/>
          <w:szCs w:val="28"/>
        </w:rPr>
      </w:pPr>
    </w:p>
    <w:p w:rsidR="002126EF" w:rsidRPr="00FB7DA8" w:rsidRDefault="002126EF" w:rsidP="00FB7DA8">
      <w:pPr>
        <w:pStyle w:val="ListParagraph"/>
        <w:tabs>
          <w:tab w:val="left" w:pos="3194"/>
        </w:tabs>
        <w:spacing w:line="264" w:lineRule="auto"/>
        <w:ind w:left="0" w:firstLine="567"/>
        <w:jc w:val="both"/>
        <w:rPr>
          <w:color w:val="000000"/>
          <w:sz w:val="28"/>
          <w:szCs w:val="28"/>
        </w:rPr>
      </w:pPr>
    </w:p>
    <w:p w:rsidR="002126EF" w:rsidRPr="00FB7DA8" w:rsidRDefault="002126EF" w:rsidP="00FB7DA8">
      <w:pPr>
        <w:pStyle w:val="ListParagraph"/>
        <w:tabs>
          <w:tab w:val="left" w:pos="3194"/>
        </w:tabs>
        <w:spacing w:line="264" w:lineRule="auto"/>
        <w:ind w:left="0" w:firstLine="567"/>
        <w:jc w:val="both"/>
        <w:rPr>
          <w:color w:val="000000"/>
          <w:sz w:val="28"/>
          <w:szCs w:val="28"/>
        </w:rPr>
      </w:pPr>
    </w:p>
    <w:p w:rsidR="002126EF" w:rsidRPr="00FB7DA8" w:rsidRDefault="002126EF" w:rsidP="00FB7DA8">
      <w:pPr>
        <w:pStyle w:val="ListParagraph"/>
        <w:tabs>
          <w:tab w:val="left" w:pos="3194"/>
        </w:tabs>
        <w:spacing w:line="264" w:lineRule="auto"/>
        <w:ind w:left="0" w:firstLine="567"/>
        <w:jc w:val="both"/>
        <w:rPr>
          <w:color w:val="000000"/>
          <w:sz w:val="28"/>
          <w:szCs w:val="28"/>
        </w:rPr>
      </w:pPr>
    </w:p>
    <w:p w:rsidR="002126EF" w:rsidRPr="00FB7DA8" w:rsidRDefault="002126EF" w:rsidP="00FB7DA8">
      <w:pPr>
        <w:pStyle w:val="ListParagraph"/>
        <w:tabs>
          <w:tab w:val="left" w:pos="3194"/>
        </w:tabs>
        <w:spacing w:line="264" w:lineRule="auto"/>
        <w:ind w:left="0" w:firstLine="567"/>
        <w:jc w:val="both"/>
        <w:rPr>
          <w:color w:val="000000"/>
          <w:sz w:val="28"/>
          <w:szCs w:val="28"/>
        </w:rPr>
      </w:pPr>
    </w:p>
    <w:p w:rsidR="002126EF" w:rsidRPr="00FB7DA8" w:rsidRDefault="002126EF" w:rsidP="00FB7DA8">
      <w:pPr>
        <w:pStyle w:val="ListParagraph"/>
        <w:tabs>
          <w:tab w:val="left" w:pos="3194"/>
        </w:tabs>
        <w:spacing w:line="264" w:lineRule="auto"/>
        <w:ind w:left="0" w:firstLine="567"/>
        <w:jc w:val="both"/>
        <w:rPr>
          <w:color w:val="000000"/>
          <w:sz w:val="28"/>
          <w:szCs w:val="28"/>
        </w:rPr>
      </w:pPr>
    </w:p>
    <w:p w:rsidR="002126EF" w:rsidRPr="00FB7DA8" w:rsidRDefault="002126EF" w:rsidP="00FB7DA8">
      <w:pPr>
        <w:pStyle w:val="ListParagraph"/>
        <w:tabs>
          <w:tab w:val="left" w:pos="3194"/>
        </w:tabs>
        <w:spacing w:line="264" w:lineRule="auto"/>
        <w:ind w:left="0"/>
        <w:jc w:val="both"/>
        <w:rPr>
          <w:color w:val="000000"/>
          <w:sz w:val="28"/>
          <w:szCs w:val="28"/>
        </w:rPr>
      </w:pPr>
    </w:p>
    <w:p w:rsidR="002126EF" w:rsidRPr="00FB7DA8" w:rsidRDefault="002126EF" w:rsidP="00FB7DA8">
      <w:pPr>
        <w:pStyle w:val="ListParagraph"/>
        <w:tabs>
          <w:tab w:val="left" w:pos="3194"/>
        </w:tabs>
        <w:spacing w:line="264" w:lineRule="auto"/>
        <w:ind w:left="0"/>
        <w:jc w:val="both"/>
        <w:rPr>
          <w:color w:val="000000"/>
          <w:sz w:val="28"/>
          <w:szCs w:val="28"/>
        </w:rPr>
      </w:pPr>
      <w:r w:rsidRPr="00FB7DA8">
        <w:rPr>
          <w:color w:val="000000"/>
          <w:sz w:val="28"/>
          <w:szCs w:val="28"/>
        </w:rPr>
        <w:tab/>
      </w:r>
    </w:p>
    <w:p w:rsidR="002126EF" w:rsidRPr="00FB7DA8" w:rsidRDefault="002126EF" w:rsidP="00FB7DA8">
      <w:pPr>
        <w:pStyle w:val="ListParagraph"/>
        <w:spacing w:line="264" w:lineRule="auto"/>
        <w:ind w:left="0" w:firstLine="567"/>
        <w:jc w:val="both"/>
        <w:rPr>
          <w:color w:val="000000"/>
          <w:sz w:val="28"/>
          <w:szCs w:val="28"/>
        </w:rPr>
      </w:pPr>
    </w:p>
    <w:p w:rsidR="002126EF" w:rsidRPr="00FB7DA8" w:rsidRDefault="002126EF" w:rsidP="00FB7DA8">
      <w:pPr>
        <w:pStyle w:val="ListParagraph"/>
        <w:tabs>
          <w:tab w:val="left" w:pos="5943"/>
        </w:tabs>
        <w:spacing w:line="264" w:lineRule="auto"/>
        <w:ind w:left="0" w:firstLine="567"/>
        <w:jc w:val="both"/>
        <w:rPr>
          <w:color w:val="000000"/>
          <w:sz w:val="28"/>
          <w:szCs w:val="28"/>
        </w:rPr>
      </w:pPr>
      <w:r w:rsidRPr="00FB7DA8">
        <w:rPr>
          <w:color w:val="000000"/>
          <w:sz w:val="28"/>
          <w:szCs w:val="28"/>
        </w:rPr>
        <w:tab/>
      </w:r>
    </w:p>
    <w:p w:rsidR="002126EF" w:rsidRPr="00FB7DA8" w:rsidRDefault="002126EF" w:rsidP="00FB7DA8">
      <w:pPr>
        <w:pStyle w:val="ListParagraph"/>
        <w:spacing w:line="264" w:lineRule="auto"/>
        <w:ind w:left="0" w:firstLine="567"/>
        <w:jc w:val="both"/>
        <w:rPr>
          <w:color w:val="000000"/>
          <w:sz w:val="28"/>
          <w:szCs w:val="28"/>
        </w:rPr>
      </w:pPr>
    </w:p>
    <w:p w:rsidR="002126EF" w:rsidRPr="00FB7DA8" w:rsidRDefault="002126EF" w:rsidP="00FB7DA8">
      <w:pPr>
        <w:pStyle w:val="ListParagraph"/>
        <w:spacing w:line="264" w:lineRule="auto"/>
        <w:ind w:left="0" w:firstLine="567"/>
        <w:jc w:val="both"/>
        <w:rPr>
          <w:color w:val="000000"/>
          <w:sz w:val="28"/>
          <w:szCs w:val="28"/>
        </w:rPr>
      </w:pPr>
    </w:p>
    <w:p w:rsidR="002126EF" w:rsidRPr="00FB7DA8" w:rsidRDefault="002126EF" w:rsidP="00FB7DA8">
      <w:pPr>
        <w:pStyle w:val="ListParagraph"/>
        <w:spacing w:line="264" w:lineRule="auto"/>
        <w:ind w:left="0" w:firstLine="567"/>
        <w:jc w:val="both"/>
        <w:rPr>
          <w:color w:val="000000"/>
          <w:sz w:val="28"/>
          <w:szCs w:val="28"/>
        </w:rPr>
      </w:pPr>
    </w:p>
    <w:p w:rsidR="002126EF" w:rsidRPr="00FB7DA8" w:rsidRDefault="002126EF" w:rsidP="00FB7DA8">
      <w:pPr>
        <w:pStyle w:val="ListParagraph"/>
        <w:spacing w:line="264" w:lineRule="auto"/>
        <w:ind w:left="0"/>
        <w:jc w:val="center"/>
        <w:rPr>
          <w:b/>
          <w:bCs/>
          <w:color w:val="000000"/>
          <w:sz w:val="28"/>
          <w:szCs w:val="28"/>
        </w:rPr>
      </w:pPr>
      <w:r w:rsidRPr="00FB7DA8">
        <w:rPr>
          <w:b/>
          <w:bCs/>
          <w:color w:val="000000"/>
          <w:sz w:val="28"/>
          <w:szCs w:val="28"/>
        </w:rPr>
        <w:t>Bảng  1 : Sơ đồ cấu trúc IASB</w:t>
      </w:r>
    </w:p>
    <w:p w:rsidR="002126EF" w:rsidRPr="00FB7DA8" w:rsidRDefault="002126EF" w:rsidP="00FB7DA8">
      <w:pPr>
        <w:pStyle w:val="ListParagraph"/>
        <w:spacing w:line="264" w:lineRule="auto"/>
        <w:ind w:left="0"/>
        <w:jc w:val="center"/>
        <w:rPr>
          <w:b/>
          <w:bCs/>
          <w:color w:val="000000"/>
          <w:sz w:val="28"/>
          <w:szCs w:val="28"/>
        </w:rPr>
      </w:pP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Các ủy viên quản trị (trustees) bao gồm một nhóm 20 người đến từ những khu vực địa lý khác nhau và có những kinh nghiệm hoạt động khác nhau. Các ủy viên quản trị bổ nhiệm thành viên của IASB, IFRIC, SAC. Bên cạnh việc giám sát IASC để đảm bảo hoạt động hiệu quả của ủy ban này và gây quỹ, các ủy viên quản trị còn phê chuẩn ngân sách của IASC và chịu trách nhiệm xem xét những thay đổi trong điều lệ hoạt động của hội đồng. Các ủy viên quản trị được bầu sao cho có 6 người đến từ Bắc Mỹ, 6 người đến từ Châu Âu, 4 người đến từ Châu Á Thái Bình Dương và 3 đến từ các khu vực khác để đảm bảo sự cân bằng địa lý.</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Hội đồng tư vấn chuẩn mực (Standards Advisory Council - SAC) tạo ra một cầu nối chính thức giúp cho các tổ chức và cá nhân khác, những người mà đến từ những khu vực địa lý khác nhau và có nền tảng học vấn đa dạng, được đưa ra những ý kiến góp ý cho hội đồng và cũng có thể là tư vấn cho các ủy viên quản trị. Hội đồng này bao gồm 15 thành viên và gặp nhau ít nhất 3 lần một năm. Hội đồng này được tham vấn bởi IASB trong những dự án quan trọng. Hội đồng cũng tư vấn cho IASB về những ưu tiên trong lịch trình hoạt động và tác động của các chuẩn mực được đề xuất có ảnh hưởng đến người sử dụng và  người lập báo cáo tài chính.</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 xml:space="preserve">Ủy ban giải thích chuẩn mực kế toán quốc tế (IFRIC) đưa ra những chỉ dẫn về cách áp dụng và giải thích các tiêu chuẩn báo cáo tài chính quốc tế. Ủy ban này chịu trách nhiệm về những vấn đề báo cáo tài chính mới xuất hiện mà chưa được nêu ra trong các tiêu chuẩn báo cáo tài chính quốc tế hoặc những vấn đề mà chưa có cách giải thích phù hợp hoặc có những sự giải thích trái ngược. </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Trong quá trình hoạt động, hội đồng này đã sửa đổi, bổ sung một số chuẩn mực kế toán cũ, thay thế chuẩn mực kế toán cũ bằng những những chuẩn mực kế toán bằng trình bày báo cáo tài chính và ban hành một số chuẩn mực kế toán mới về những vấn đề chưa được đề cập trước đó.</w:t>
      </w:r>
    </w:p>
    <w:p w:rsidR="002126EF" w:rsidRPr="00FB7DA8" w:rsidRDefault="002126EF" w:rsidP="00FB7DA8">
      <w:pPr>
        <w:pStyle w:val="Heading3"/>
        <w:spacing w:before="0" w:after="0" w:line="264" w:lineRule="auto"/>
        <w:ind w:firstLine="720"/>
        <w:jc w:val="both"/>
        <w:rPr>
          <w:rFonts w:ascii="Times New Roman" w:hAnsi="Times New Roman" w:cs="Times New Roman"/>
          <w:color w:val="000000"/>
          <w:sz w:val="28"/>
          <w:szCs w:val="28"/>
        </w:rPr>
      </w:pPr>
      <w:bookmarkStart w:id="18" w:name="_Toc261404098"/>
      <w:r w:rsidRPr="00FB7DA8">
        <w:rPr>
          <w:rFonts w:ascii="Times New Roman" w:hAnsi="Times New Roman" w:cs="Times New Roman"/>
          <w:color w:val="000000"/>
          <w:sz w:val="28"/>
          <w:szCs w:val="28"/>
        </w:rPr>
        <w:t>1.3. Sự tiếp nhận của cộng đồng quốc tế đối với các chuẩn mực kế toán quốc tế:</w:t>
      </w:r>
      <w:bookmarkEnd w:id="18"/>
    </w:p>
    <w:p w:rsidR="002126EF" w:rsidRPr="00FB7DA8" w:rsidRDefault="002126EF" w:rsidP="00FB7DA8">
      <w:pPr>
        <w:pStyle w:val="ListParagraph"/>
        <w:spacing w:line="264" w:lineRule="auto"/>
        <w:ind w:left="0" w:firstLine="720"/>
        <w:jc w:val="both"/>
        <w:rPr>
          <w:color w:val="000000"/>
          <w:sz w:val="28"/>
          <w:szCs w:val="28"/>
        </w:rPr>
      </w:pPr>
      <w:r w:rsidRPr="00FB7DA8">
        <w:rPr>
          <w:color w:val="000000"/>
          <w:sz w:val="28"/>
          <w:szCs w:val="28"/>
        </w:rPr>
        <w:t>Ngoài hệ thống chuẩn mực kế toán quốc tế, mỗi quốc gia lại cho sự lựa chọn riêng để xây dựng hệ thống chuẩn mực kế toán của mỡnh. Cú quốc gia vận dụng 100% các chuẩn mực kế toán quốc tế mà không cần sự sửa đổi, bổ sung (như Nam Phi, Mông Cổ, Thụy Sỹ,…); có quốc gia tuy vận dụng 100% chuẩn mực kế toán quốc tế nhưng cú thờm phụ lục để bổ sung hoặc bớt đi một số nội dung (như Malaysia, Singapo,…); có quốc gia vận dụng có chọn lọc các nội dung của chuẩn mực kế toán quốc tế và sửa đổi bổ sung thêm để phù hợp với đặc điểm của nền kinh tế quốc gia mình (như Anh, Pháp, Việt Nam…) và có quốc gia tự xây dựng hệ thống chuẩn mực riờng khụng sử dụng chuẩn mực kế toán quốc tế (như Mỹ, Thái Lan,..).</w:t>
      </w:r>
    </w:p>
    <w:p w:rsidR="002126EF" w:rsidRPr="00FB7DA8" w:rsidRDefault="002126EF" w:rsidP="00FB7DA8">
      <w:pPr>
        <w:pStyle w:val="ListParagraph"/>
        <w:spacing w:line="264" w:lineRule="auto"/>
        <w:ind w:left="0" w:firstLine="720"/>
        <w:jc w:val="both"/>
        <w:rPr>
          <w:b/>
          <w:bCs/>
          <w:color w:val="000000"/>
          <w:sz w:val="28"/>
          <w:szCs w:val="28"/>
        </w:rPr>
      </w:pPr>
      <w:r w:rsidRPr="00FB7DA8">
        <w:rPr>
          <w:b/>
          <w:bCs/>
          <w:color w:val="000000"/>
          <w:sz w:val="28"/>
          <w:szCs w:val="28"/>
        </w:rPr>
        <w:t>2. Hệ thống chuẩn mực kế toán quốc tế hiện hành viết tắt là IAS.</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 IAS1: Trình bầy báo cáo tài chính.</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 IAS2: Hàng tồn kho.</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 IAS7: Báo cáo lưu chuyển tiền tệ.</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 IAS8: Lỗ, lãi dòng của cả kỳ, các lỗi cơ bản và thay đổi chế độ kế toán.</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 IAS10: Các sự kiện sảy ra sau ngày lập bảng tổng kết tài sản.</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 IAS11: Các hợp đồng xây dựng.</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 IAS12: Thuế thu nhập.</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 IAS14: Báo cáo bộ phận</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 IAS15: Thông tin phản ánh ảnh hưởng của biến động giá cả.</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 IAS16: Bất động sản, xưởng và thiết bị.</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 IAS17: Tài sản thuê.</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 IAS18: Doanh thu.</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 IAS19: Lợi ích trả cho công nhân viên</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 IAS20: Kế toán các khoản trợ cấp của chính phủ và công bố về trợ cấp chính phủ.</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 IAS21: Ảnh hưởng do thay đổi tỷ giá hối đoái.</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 IAS22: Hợp nhất kinh doanh.</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 IAS23: Chi phí đi vay.</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 IAS24: Công bố về các bên liên quan.</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 IAS25: Kế toán các khoản đầu tư.</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 IAS26: Kế toán và báo cáo theo quỹ lợi ích hưu trí.</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 IAS27: Báo cáo tài chính tổng hợp và kế toán các khoản đầu tư vào các công ty con.</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 IAS28: Kế toán các khoản đầu tư vào các công ty liên kết.</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 IAS29: Báo cáo tài chính trong các nền kinh tế siêu lạm phát.</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 IAS30: Nội dung công bố trong báo cáo tài chính của các ngân hàng và các tổ chức tín dụng giống nhau.</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 IAS31: Báo cáo tài chính cho các khoản phân chia trong các liên doanh.</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 IAS32: Các công cụ tài chính công bố và trình bầy.</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 IAS33: Thu nhập trên một cổ phiếu.</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 IAS34: Báo cáo tài chính tạm thời.</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 IAS35: Hoạt động bị ngừng.</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 IAS36: Giảm giá trị tài sản.</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 IAS37: Các khoản dự phòng, nợ bất thường và tài sản bất thường.</w:t>
      </w:r>
    </w:p>
    <w:p w:rsidR="002126EF" w:rsidRPr="00FB7DA8" w:rsidRDefault="002126EF" w:rsidP="00FB7DA8">
      <w:pPr>
        <w:pStyle w:val="NormalWeb"/>
        <w:spacing w:before="0" w:beforeAutospacing="0" w:after="0" w:afterAutospacing="0" w:line="264" w:lineRule="auto"/>
        <w:ind w:firstLine="550"/>
        <w:jc w:val="both"/>
        <w:rPr>
          <w:color w:val="000000"/>
          <w:sz w:val="28"/>
          <w:szCs w:val="28"/>
        </w:rPr>
      </w:pPr>
      <w:r w:rsidRPr="00FB7DA8">
        <w:rPr>
          <w:color w:val="000000"/>
          <w:sz w:val="28"/>
          <w:szCs w:val="28"/>
        </w:rPr>
        <w:t>– IAS38: Tài sản phi vật chất.</w:t>
      </w:r>
    </w:p>
    <w:p w:rsidR="002126EF" w:rsidRPr="00FB7DA8" w:rsidRDefault="002126EF" w:rsidP="00FB7DA8">
      <w:pPr>
        <w:pStyle w:val="NormalWeb"/>
        <w:spacing w:before="0" w:beforeAutospacing="0" w:after="0" w:afterAutospacing="0" w:line="264" w:lineRule="auto"/>
        <w:ind w:firstLine="550"/>
        <w:jc w:val="both"/>
        <w:rPr>
          <w:color w:val="000000"/>
          <w:sz w:val="28"/>
          <w:szCs w:val="28"/>
        </w:rPr>
      </w:pPr>
      <w:r w:rsidRPr="00FB7DA8">
        <w:rPr>
          <w:color w:val="000000"/>
          <w:sz w:val="28"/>
          <w:szCs w:val="28"/>
        </w:rPr>
        <w:t>Việc áp dụng IFRS vào Việt Nam là yêu cầu khách quan, tất yếu trong quá trình phát triển và hội nhập kinh tế quốc tế. Thực tế, IFRS ngày càng được nhiều quốc gia và vùng lãnh thổ trên thế giới áp dụng hoặc cam kết áp dụng. Theo Ủy ban Chuẩn mực kế toán quốc tế, có 119/143 (chiếm tỷ lệ 83,2%) quốc gia và vùng lãnh thổ yêu cầu áp dụng IFRS.</w:t>
      </w:r>
    </w:p>
    <w:p w:rsidR="002126EF" w:rsidRPr="00FB7DA8" w:rsidRDefault="002126EF" w:rsidP="00FB7DA8">
      <w:pPr>
        <w:pStyle w:val="Heading2"/>
        <w:spacing w:before="0" w:after="0" w:line="264" w:lineRule="auto"/>
        <w:ind w:firstLine="550"/>
        <w:jc w:val="both"/>
        <w:rPr>
          <w:rFonts w:ascii="Times New Roman" w:hAnsi="Times New Roman" w:cs="Times New Roman"/>
          <w:i w:val="0"/>
          <w:iCs w:val="0"/>
          <w:color w:val="000000"/>
        </w:rPr>
      </w:pPr>
      <w:bookmarkStart w:id="19" w:name="_Toc259077504"/>
      <w:bookmarkStart w:id="20" w:name="_Toc259077549"/>
      <w:bookmarkStart w:id="21" w:name="_Toc261404099"/>
      <w:r w:rsidRPr="00FB7DA8">
        <w:rPr>
          <w:rFonts w:ascii="Times New Roman" w:hAnsi="Times New Roman" w:cs="Times New Roman"/>
          <w:i w:val="0"/>
          <w:iCs w:val="0"/>
          <w:color w:val="000000"/>
        </w:rPr>
        <w:t>3. Quy trình soạn thảo nờn cỏc chuẩn mực kế toán quốc tế</w:t>
      </w:r>
      <w:bookmarkEnd w:id="19"/>
      <w:bookmarkEnd w:id="20"/>
      <w:r w:rsidRPr="00FB7DA8">
        <w:rPr>
          <w:rFonts w:ascii="Times New Roman" w:hAnsi="Times New Roman" w:cs="Times New Roman"/>
          <w:i w:val="0"/>
          <w:iCs w:val="0"/>
          <w:color w:val="000000"/>
        </w:rPr>
        <w:t>:</w:t>
      </w:r>
      <w:bookmarkEnd w:id="21"/>
    </w:p>
    <w:p w:rsidR="002126EF" w:rsidRPr="00FB7DA8" w:rsidRDefault="002126EF" w:rsidP="00FB7DA8">
      <w:pPr>
        <w:spacing w:line="264" w:lineRule="auto"/>
        <w:ind w:firstLine="550"/>
        <w:jc w:val="both"/>
        <w:rPr>
          <w:color w:val="000000"/>
          <w:sz w:val="28"/>
          <w:szCs w:val="28"/>
        </w:rPr>
      </w:pPr>
      <w:r w:rsidRPr="00FB7DA8">
        <w:rPr>
          <w:color w:val="000000"/>
          <w:sz w:val="28"/>
          <w:szCs w:val="28"/>
        </w:rPr>
        <w:t>Chuẩn mực kế toán quốc tế được hình thành qua một hệ thống các quy trình chuẩn  và được sự tham vấn rộng rãi của cộng đồng quốc tế. Quy trình chuẩn cho việc soạn thảo một chuẩn mực kế toán quốc tế gồm các bước sau:</w:t>
      </w:r>
    </w:p>
    <w:p w:rsidR="002126EF" w:rsidRPr="00FB7DA8" w:rsidRDefault="002126EF" w:rsidP="00FB7DA8">
      <w:pPr>
        <w:pStyle w:val="ListParagraph"/>
        <w:spacing w:line="264" w:lineRule="auto"/>
        <w:ind w:left="0" w:firstLine="550"/>
        <w:jc w:val="both"/>
        <w:rPr>
          <w:color w:val="000000"/>
          <w:sz w:val="28"/>
          <w:szCs w:val="28"/>
        </w:rPr>
      </w:pPr>
      <w:r w:rsidRPr="00FB7DA8">
        <w:rPr>
          <w:b/>
          <w:bCs/>
          <w:color w:val="000000"/>
          <w:sz w:val="28"/>
          <w:szCs w:val="28"/>
        </w:rPr>
        <w:t>Bước 1</w:t>
      </w:r>
      <w:r w:rsidRPr="00FB7DA8">
        <w:rPr>
          <w:color w:val="000000"/>
          <w:sz w:val="28"/>
          <w:szCs w:val="28"/>
        </w:rPr>
        <w:t>: Các nhân viên của IASB sẽ nhận diện, xem xét và đề xuất các vấn đề mà có thể làm cho hội đồng quan tâm. Hội đồng sẽ thảo luận về các dự án tiềm năng và quyết định để theo đuổi một dự án phải được đưa ra trong một cuộc họp hội đồng công khai. Trước khi đi đến một quyết định như vậy, IASB sẽ tham vấn SAC để lên một lịch trình hoạt động và đặt ra các ưu tiên.</w:t>
      </w:r>
    </w:p>
    <w:p w:rsidR="002126EF" w:rsidRPr="00FB7DA8" w:rsidRDefault="002126EF" w:rsidP="00FB7DA8">
      <w:pPr>
        <w:pStyle w:val="ListParagraph"/>
        <w:spacing w:line="264" w:lineRule="auto"/>
        <w:ind w:left="0" w:firstLine="1320"/>
        <w:jc w:val="both"/>
        <w:rPr>
          <w:color w:val="000000"/>
          <w:sz w:val="28"/>
          <w:szCs w:val="28"/>
        </w:rPr>
      </w:pPr>
      <w:r>
        <w:rPr>
          <w:noProof/>
        </w:rPr>
      </w:r>
      <w:r w:rsidRPr="00DE0F5B">
        <w:rPr>
          <w:color w:val="000000"/>
          <w:sz w:val="28"/>
          <w:szCs w:val="28"/>
        </w:rPr>
        <w:pict>
          <v:group id="_x0000_s1046" editas="canvas" style="width:318pt;height:7in;mso-position-horizontal-relative:char;mso-position-vertical-relative:line" coordorigin="1658,8640" coordsize="5088,8064">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7" type="#_x0000_t75" style="position:absolute;left:1658;top:8640;width:5088;height:8064" o:preferrelative="f">
              <v:fill o:detectmouseclick="t"/>
              <o:lock v:ext="edit" text="t"/>
            </v:shape>
            <v:rect id="_x0000_s1048" style="position:absolute;left:2522;top:9072;width:3456;height:576">
              <v:textbox>
                <w:txbxContent>
                  <w:p w:rsidR="002126EF" w:rsidRDefault="002126EF" w:rsidP="00E5731F">
                    <w:pPr>
                      <w:jc w:val="center"/>
                    </w:pPr>
                    <w:r>
                      <w:t>Đề xuất dự án soạn thảo chuẩn mực kế toán quốc tế</w:t>
                    </w:r>
                  </w:p>
                  <w:p w:rsidR="002126EF" w:rsidRDefault="002126EF" w:rsidP="00E5731F"/>
                  <w:p w:rsidR="002126EF" w:rsidRDefault="002126EF" w:rsidP="00E5731F"/>
                </w:txbxContent>
              </v:textbox>
            </v:rect>
            <v:rect id="_x0000_s1049" style="position:absolute;left:2522;top:10224;width:3456;height:576">
              <v:textbox>
                <w:txbxContent>
                  <w:p w:rsidR="002126EF" w:rsidRDefault="002126EF" w:rsidP="00E5731F">
                    <w:pPr>
                      <w:jc w:val="center"/>
                    </w:pPr>
                    <w:r>
                      <w:t>Xem xét việc hợp tác với các tổ chức soạn thảo chuẩn mực quốc gia</w:t>
                    </w:r>
                  </w:p>
                  <w:p w:rsidR="002126EF" w:rsidRDefault="002126EF" w:rsidP="00E5731F"/>
                  <w:p w:rsidR="002126EF" w:rsidRDefault="002126EF" w:rsidP="00E5731F"/>
                </w:txbxContent>
              </v:textbox>
            </v:rect>
            <v:rect id="_x0000_s1050" style="position:absolute;left:2522;top:11376;width:3456;height:576">
              <v:textbox>
                <w:txbxContent>
                  <w:p w:rsidR="002126EF" w:rsidRDefault="002126EF" w:rsidP="00E5731F">
                    <w:pPr>
                      <w:jc w:val="center"/>
                    </w:pPr>
                    <w:r>
                      <w:t xml:space="preserve">Thành lập các nhóm làm việc </w:t>
                    </w:r>
                  </w:p>
                  <w:p w:rsidR="002126EF" w:rsidRDefault="002126EF" w:rsidP="00E5731F">
                    <w:pPr>
                      <w:jc w:val="center"/>
                    </w:pPr>
                    <w:r>
                      <w:t>(working group)</w:t>
                    </w:r>
                  </w:p>
                  <w:p w:rsidR="002126EF" w:rsidRDefault="002126EF" w:rsidP="00E5731F"/>
                  <w:p w:rsidR="002126EF" w:rsidRDefault="002126EF" w:rsidP="00E5731F"/>
                  <w:p w:rsidR="002126EF" w:rsidRDefault="002126EF" w:rsidP="00E5731F"/>
                </w:txbxContent>
              </v:textbox>
            </v:rect>
            <v:rect id="_x0000_s1051" style="position:absolute;left:2522;top:12528;width:3456;height:576">
              <v:textbox>
                <w:txbxContent>
                  <w:p w:rsidR="002126EF" w:rsidRDefault="002126EF" w:rsidP="00E5731F">
                    <w:pPr>
                      <w:jc w:val="center"/>
                    </w:pPr>
                    <w:r>
                      <w:t xml:space="preserve">Đưa ra văn bản mời thảo luận </w:t>
                    </w:r>
                  </w:p>
                  <w:p w:rsidR="002126EF" w:rsidRDefault="002126EF" w:rsidP="00E5731F">
                    <w:pPr>
                      <w:jc w:val="center"/>
                    </w:pPr>
                    <w:r>
                      <w:t>(discussion paper)</w:t>
                    </w:r>
                  </w:p>
                  <w:p w:rsidR="002126EF" w:rsidRDefault="002126EF" w:rsidP="00E5731F"/>
                  <w:p w:rsidR="002126EF" w:rsidRDefault="002126EF" w:rsidP="00E5731F"/>
                  <w:p w:rsidR="002126EF" w:rsidRDefault="002126EF" w:rsidP="00E5731F"/>
                </w:txbxContent>
              </v:textbox>
            </v:rect>
            <v:rect id="_x0000_s1052" style="position:absolute;left:2522;top:13680;width:3456;height:576">
              <v:textbox>
                <w:txbxContent>
                  <w:p w:rsidR="002126EF" w:rsidRDefault="002126EF" w:rsidP="00E5731F">
                    <w:pPr>
                      <w:jc w:val="center"/>
                    </w:pPr>
                    <w:r>
                      <w:t>Công bố bản thảo lấy ý kiến công chúng (exposure draft)</w:t>
                    </w:r>
                  </w:p>
                  <w:p w:rsidR="002126EF" w:rsidRDefault="002126EF" w:rsidP="00E5731F"/>
                  <w:p w:rsidR="002126EF" w:rsidRDefault="002126EF" w:rsidP="00E5731F"/>
                  <w:p w:rsidR="002126EF" w:rsidRDefault="002126EF" w:rsidP="00E5731F"/>
                </w:txbxContent>
              </v:textbox>
            </v:rect>
            <v:rect id="_x0000_s1053" style="position:absolute;left:2522;top:14832;width:3456;height:576">
              <v:textbox>
                <w:txbxContent>
                  <w:p w:rsidR="002126EF" w:rsidRDefault="002126EF" w:rsidP="00E5731F">
                    <w:pPr>
                      <w:jc w:val="center"/>
                    </w:pPr>
                    <w:r>
                      <w:t>Thu thập và xem xét các nhận xét</w:t>
                    </w:r>
                  </w:p>
                  <w:p w:rsidR="002126EF" w:rsidRDefault="002126EF" w:rsidP="00E5731F"/>
                  <w:p w:rsidR="002126EF" w:rsidRDefault="002126EF" w:rsidP="00E5731F"/>
                  <w:p w:rsidR="002126EF" w:rsidRDefault="002126EF" w:rsidP="00E5731F"/>
                  <w:p w:rsidR="002126EF" w:rsidRDefault="002126EF" w:rsidP="00E5731F"/>
                </w:txbxContent>
              </v:textbox>
            </v:rect>
            <v:rect id="_x0000_s1054" style="position:absolute;left:2522;top:15984;width:3456;height:576">
              <v:textbox>
                <w:txbxContent>
                  <w:p w:rsidR="002126EF" w:rsidRDefault="002126EF" w:rsidP="00E5731F">
                    <w:pPr>
                      <w:jc w:val="center"/>
                    </w:pPr>
                    <w:r>
                      <w:t>Soạn thảo chính thức chuẩn mực kế toán quốc tế</w:t>
                    </w:r>
                  </w:p>
                  <w:p w:rsidR="002126EF" w:rsidRDefault="002126EF" w:rsidP="00E5731F"/>
                  <w:p w:rsidR="002126EF" w:rsidRDefault="002126EF" w:rsidP="00E5731F"/>
                  <w:p w:rsidR="002126EF" w:rsidRDefault="002126EF" w:rsidP="00E5731F"/>
                  <w:p w:rsidR="002126EF" w:rsidRDefault="002126EF" w:rsidP="00E5731F"/>
                  <w:p w:rsidR="002126EF" w:rsidRDefault="002126EF" w:rsidP="00E5731F"/>
                </w:txbxContent>
              </v:textbox>
            </v:rect>
            <v:line id="_x0000_s1055" style="position:absolute" from="4106,9648" to="4106,10224">
              <v:stroke endarrow="block"/>
            </v:line>
            <v:line id="_x0000_s1056" style="position:absolute" from="4106,10800" to="4107,11376">
              <v:stroke endarrow="block"/>
            </v:line>
            <v:line id="_x0000_s1057" style="position:absolute" from="4106,11952" to="4107,12528">
              <v:stroke endarrow="block"/>
            </v:line>
            <v:line id="_x0000_s1058" style="position:absolute" from="4106,13104" to="4107,13680">
              <v:stroke endarrow="block"/>
            </v:line>
            <v:line id="_x0000_s1059" style="position:absolute" from="4106,14256" to="4107,14832">
              <v:stroke endarrow="block"/>
            </v:line>
            <v:line id="_x0000_s1060" style="position:absolute" from="4106,15408" to="4107,15984">
              <v:stroke endarrow="block"/>
            </v:line>
            <w10:anchorlock/>
          </v:group>
        </w:pict>
      </w:r>
    </w:p>
    <w:p w:rsidR="002126EF" w:rsidRPr="00FB7DA8" w:rsidRDefault="002126EF" w:rsidP="00FB7DA8">
      <w:pPr>
        <w:spacing w:line="264" w:lineRule="auto"/>
        <w:jc w:val="both"/>
        <w:rPr>
          <w:color w:val="000000"/>
          <w:sz w:val="28"/>
          <w:szCs w:val="28"/>
        </w:rPr>
      </w:pPr>
    </w:p>
    <w:p w:rsidR="002126EF" w:rsidRPr="00FB7DA8" w:rsidRDefault="002126EF" w:rsidP="00FB7DA8">
      <w:pPr>
        <w:spacing w:line="264" w:lineRule="auto"/>
        <w:ind w:firstLine="720"/>
        <w:jc w:val="center"/>
        <w:rPr>
          <w:b/>
          <w:bCs/>
          <w:i/>
          <w:iCs/>
          <w:color w:val="000000"/>
          <w:spacing w:val="-6"/>
          <w:sz w:val="28"/>
          <w:szCs w:val="28"/>
        </w:rPr>
      </w:pPr>
      <w:r w:rsidRPr="00FB7DA8">
        <w:rPr>
          <w:b/>
          <w:bCs/>
          <w:i/>
          <w:iCs/>
          <w:color w:val="000000"/>
          <w:spacing w:val="-6"/>
          <w:sz w:val="28"/>
          <w:szCs w:val="28"/>
        </w:rPr>
        <w:t xml:space="preserve">Bảng 2: Quy trình chuẩn cho việc soạn thảo </w:t>
      </w:r>
    </w:p>
    <w:p w:rsidR="002126EF" w:rsidRPr="00FB7DA8" w:rsidRDefault="002126EF" w:rsidP="00FB7DA8">
      <w:pPr>
        <w:spacing w:line="264" w:lineRule="auto"/>
        <w:ind w:firstLine="720"/>
        <w:jc w:val="center"/>
        <w:rPr>
          <w:b/>
          <w:bCs/>
          <w:i/>
          <w:iCs/>
          <w:color w:val="000000"/>
          <w:spacing w:val="-6"/>
          <w:sz w:val="28"/>
          <w:szCs w:val="28"/>
        </w:rPr>
      </w:pPr>
      <w:r w:rsidRPr="00FB7DA8">
        <w:rPr>
          <w:b/>
          <w:bCs/>
          <w:i/>
          <w:iCs/>
          <w:color w:val="000000"/>
          <w:spacing w:val="-6"/>
          <w:sz w:val="28"/>
          <w:szCs w:val="28"/>
        </w:rPr>
        <w:t>các chuẩn mực kế toán quốc tế.</w:t>
      </w:r>
    </w:p>
    <w:p w:rsidR="002126EF" w:rsidRPr="00FB7DA8" w:rsidRDefault="002126EF" w:rsidP="00FB7DA8">
      <w:pPr>
        <w:spacing w:line="264" w:lineRule="auto"/>
        <w:jc w:val="both"/>
        <w:rPr>
          <w:b/>
          <w:bCs/>
          <w:color w:val="000000"/>
          <w:sz w:val="28"/>
          <w:szCs w:val="28"/>
        </w:rPr>
      </w:pPr>
    </w:p>
    <w:p w:rsidR="002126EF" w:rsidRPr="00FB7DA8" w:rsidRDefault="002126EF" w:rsidP="00FB7DA8">
      <w:pPr>
        <w:pStyle w:val="ListParagraph"/>
        <w:spacing w:line="264" w:lineRule="auto"/>
        <w:ind w:left="0" w:firstLine="720"/>
        <w:jc w:val="both"/>
        <w:rPr>
          <w:color w:val="000000"/>
          <w:sz w:val="28"/>
          <w:szCs w:val="28"/>
        </w:rPr>
      </w:pPr>
      <w:r w:rsidRPr="00FB7DA8">
        <w:rPr>
          <w:b/>
          <w:bCs/>
          <w:color w:val="000000"/>
          <w:sz w:val="28"/>
          <w:szCs w:val="28"/>
        </w:rPr>
        <w:t>Bước 2</w:t>
      </w:r>
      <w:r w:rsidRPr="00FB7DA8">
        <w:rPr>
          <w:color w:val="000000"/>
          <w:sz w:val="28"/>
          <w:szCs w:val="28"/>
        </w:rPr>
        <w:t xml:space="preserve">: Khi đưa một dự án vào một lịch trình hoạt động, IASB sẽ quyết định có thực hiện dự án đó một mình hay là sẽ hợp tác với các tổ chức soạn thảo chuẩn mực khác. </w:t>
      </w:r>
    </w:p>
    <w:p w:rsidR="002126EF" w:rsidRPr="00FB7DA8" w:rsidRDefault="002126EF" w:rsidP="00FB7DA8">
      <w:pPr>
        <w:pStyle w:val="ListParagraph"/>
        <w:spacing w:line="264" w:lineRule="auto"/>
        <w:ind w:left="0" w:firstLine="720"/>
        <w:jc w:val="both"/>
        <w:rPr>
          <w:color w:val="000000"/>
          <w:sz w:val="28"/>
          <w:szCs w:val="28"/>
        </w:rPr>
      </w:pPr>
      <w:r w:rsidRPr="00FB7DA8">
        <w:rPr>
          <w:b/>
          <w:bCs/>
          <w:color w:val="000000"/>
          <w:sz w:val="28"/>
          <w:szCs w:val="28"/>
        </w:rPr>
        <w:t>Bước 3</w:t>
      </w:r>
      <w:r w:rsidRPr="00FB7DA8">
        <w:rPr>
          <w:color w:val="000000"/>
          <w:sz w:val="28"/>
          <w:szCs w:val="28"/>
        </w:rPr>
        <w:t>: Sau khi xem xét bản chất của vấn đề, IASB sẽ thiết lập một nhóm làm việc</w:t>
      </w:r>
    </w:p>
    <w:p w:rsidR="002126EF" w:rsidRPr="00FB7DA8" w:rsidRDefault="002126EF" w:rsidP="00FB7DA8">
      <w:pPr>
        <w:pStyle w:val="ListParagraph"/>
        <w:spacing w:line="264" w:lineRule="auto"/>
        <w:ind w:left="0" w:firstLine="720"/>
        <w:jc w:val="both"/>
        <w:rPr>
          <w:color w:val="000000"/>
          <w:sz w:val="28"/>
          <w:szCs w:val="28"/>
        </w:rPr>
      </w:pPr>
      <w:r w:rsidRPr="00FB7DA8">
        <w:rPr>
          <w:b/>
          <w:bCs/>
          <w:color w:val="000000"/>
          <w:sz w:val="28"/>
          <w:szCs w:val="28"/>
        </w:rPr>
        <w:t>Bước 4</w:t>
      </w:r>
      <w:r w:rsidRPr="00FB7DA8">
        <w:rPr>
          <w:color w:val="000000"/>
          <w:sz w:val="28"/>
          <w:szCs w:val="28"/>
        </w:rPr>
        <w:t>: Mặc dầu một văn bản mời thảo luận không phải là một bước bắt buộc trong quy trình chuẩn, IASB vẫn thường công bố một văn bản mời thảo luận cho những chủ đề mới quan trọng. Thông thường thì một văn bản mời thảo luận sẽ bao gồm một phần tổng quát về vấn đề được bàn luận, các cách tiếp cận để giải quyết vấn đề, quan điểm ban đầu của tác giả hay của IASB và một lời mời đưa ra ý kiến. Nếu IASB quyết định bỏ bước này thì IASB phải đưa ra lý do giải thích</w:t>
      </w:r>
    </w:p>
    <w:p w:rsidR="002126EF" w:rsidRPr="00FB7DA8" w:rsidRDefault="002126EF" w:rsidP="00FB7DA8">
      <w:pPr>
        <w:pStyle w:val="ListParagraph"/>
        <w:spacing w:line="264" w:lineRule="auto"/>
        <w:ind w:left="0" w:firstLine="720"/>
        <w:jc w:val="both"/>
        <w:rPr>
          <w:color w:val="000000"/>
          <w:sz w:val="28"/>
          <w:szCs w:val="28"/>
        </w:rPr>
      </w:pPr>
      <w:r w:rsidRPr="00FB7DA8">
        <w:rPr>
          <w:b/>
          <w:bCs/>
          <w:color w:val="000000"/>
          <w:sz w:val="28"/>
          <w:szCs w:val="28"/>
        </w:rPr>
        <w:t>Bước 5</w:t>
      </w:r>
      <w:r w:rsidRPr="00FB7DA8">
        <w:rPr>
          <w:color w:val="000000"/>
          <w:sz w:val="28"/>
          <w:szCs w:val="28"/>
        </w:rPr>
        <w:t>: Công bố bản thảo (draft) lấy ý kiến công chúng là một bước bắt buộc trong quy trình chuẩn. Bản thảo này phải được chín thành viên của IASB phê chuẩn. Một bản thảo sẽ bao gồm cơ sở để đưa ra kết luận và các quan điểm trái ngược từ các thành viên IASB không phê chuẩn.</w:t>
      </w:r>
    </w:p>
    <w:p w:rsidR="002126EF" w:rsidRPr="00FB7DA8" w:rsidRDefault="002126EF" w:rsidP="00FB7DA8">
      <w:pPr>
        <w:pStyle w:val="ListParagraph"/>
        <w:spacing w:line="264" w:lineRule="auto"/>
        <w:ind w:left="0" w:firstLine="720"/>
        <w:jc w:val="both"/>
        <w:rPr>
          <w:color w:val="000000"/>
          <w:sz w:val="28"/>
          <w:szCs w:val="28"/>
        </w:rPr>
      </w:pPr>
      <w:r w:rsidRPr="00FB7DA8">
        <w:rPr>
          <w:b/>
          <w:bCs/>
          <w:color w:val="000000"/>
          <w:sz w:val="28"/>
          <w:szCs w:val="28"/>
        </w:rPr>
        <w:t>Bước 6</w:t>
      </w:r>
      <w:r w:rsidRPr="00FB7DA8">
        <w:rPr>
          <w:color w:val="000000"/>
          <w:sz w:val="28"/>
          <w:szCs w:val="28"/>
        </w:rPr>
        <w:t>: IASB sẽ xem xét những lời nhận xét và kết quả của những lần tham vấn khác.</w:t>
      </w:r>
    </w:p>
    <w:p w:rsidR="002126EF" w:rsidRPr="00FB7DA8" w:rsidRDefault="002126EF" w:rsidP="00FB7DA8">
      <w:pPr>
        <w:pStyle w:val="ListParagraph"/>
        <w:spacing w:line="264" w:lineRule="auto"/>
        <w:ind w:left="0" w:firstLine="720"/>
        <w:jc w:val="both"/>
        <w:rPr>
          <w:color w:val="000000"/>
          <w:sz w:val="28"/>
          <w:szCs w:val="28"/>
        </w:rPr>
      </w:pPr>
      <w:r w:rsidRPr="00FB7DA8">
        <w:rPr>
          <w:b/>
          <w:bCs/>
          <w:color w:val="000000"/>
          <w:sz w:val="28"/>
          <w:szCs w:val="28"/>
        </w:rPr>
        <w:t>Bước 7</w:t>
      </w:r>
      <w:r w:rsidRPr="00FB7DA8">
        <w:rPr>
          <w:color w:val="000000"/>
          <w:sz w:val="28"/>
          <w:szCs w:val="28"/>
        </w:rPr>
        <w:t>: Khi IASB thấy rằng hội đồng đã có thể đưa ra một kết luận về vấn đề đang được thảo luận, hội đồng sẽ chỉ đạo cho nhân viên của mình soạn thảo chính thức các chuẩn mực kế toán quốc tế. Một chuẩn mực kế toán mới  phải được chính thành viên của IASB phê chuẩn. Một chuẩn mực kế toán sẽ bao gồm cơ sở để đưa ra kết luận và các quan điểm trái ngược từ các thành viên IASB không phê chuẩn.</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Sự phối hợp chặt chẽ giữa IASB và các tổ chức soạn thảo chuẩn mực kế toán của các quốc gia là một nhân tố quan trọng giúp cho IASB có thể hoàn thành nhiệm vụ của mình. IASB đang tìm cách để tạo ra sự hài hòa giữa quy trình chuẩn của IASB và quy trình chuẩn của các quốc gia. Đặc biệt, IASB đang đề xuất một quy  trình phối hợp giữa IASB và các tổ chức soạn thảo chuẩn mực kế toán quốc gia cho những dự án mang tầm quốc tế. Quy trình đó như sau :</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 IASB sẽ phối hợp với các tổ chức soạn thảo chuẩn mực kế toán của các quốc gia để khi IASB bắt đầu thực hiện một dự án, các tổ chức soạn thảo chuẩn mực kế toán đó sẽ đưa dự án đó vào kế hoạch hoạt động của mình. Nhờ đó, một sự đồng thuận quốc tế cao trong việc soạn thảo chuẩn mực kế toán có thể đạt được. Tương tự, khi tổ chức soạn thảo chuẩn mực kế toán của một quốc gia bắt đầu một dự án của họ, IASB cũng sẽ xem xét xem liệu hội đồng có cần soạn thảo một chuẩn mực kế toán mới hay xem xét lại các chuẩn mực kế toán hiện hành. Qua  một khoảng thời gian hợp lý, IASB và các tổ chức soạn thảo chuẩn mực kế toán quốc gia sẽ cùng xem xét lại tất cả các chuẩn mực nơi có sự khác biệt đáng kể và ưu tiên cho những vấn đề cso sự khác biệt lớn nhất.</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 Các tổ chức soạn thảo chuẩn mực kế toán quốc gia không bắt buộc phải dựa theo các chuẩn mực kế toán quốc tế khi soạn thảo các chuẩn mực kế toán của quốc gia mỡnh vỡ mỗi nước có quyền tự do lựa chọn có sử dụng các chuẩn mực kế toán quốc tế có bổ sung sửa đổi một số điều hay là lựa chọn các chuẩn mực khác. Tuy nhiên, một sự đồng thuận quốc tế sẽ là một nhân tố mà các nhà soạn thảo chuẩn mực kế toán quốc gia sẽ xem xét đến khi họ soạn thảo các chuẩn mực kế toán của quốc gia mình.</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 xml:space="preserve">- IASB sẽ tiếp tục công bố bản dự thảo chuẩn mực lấy ý kiến công chúng của riêng mình </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 Các tổ chức soạn thảo chuẩn mực kế toán quốc gia cũng sẽ công bố cho công chúng bản dự thảo chuẩn mực của riêng mình cùng thời gian với bản dự thảo chuẩn mực của IASB và sẽ cùng kêu gọi những góp ý cho những sự khác biệt quan trọng trong cả hai bản dự thảo. Trong một số trường hợp, các tổ chức soạn thảo chuẩn mực kế toán quốc gia có thể đưa vào bản dự thảo những quan điểm cụ thể về những vấn đề có liên quan đến quốc gia họ hoặc có thể kèm theo những chỉ dẫn cụ thể thường có trong những văn bản tương ứng của IASB.</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 Các tổ chức soạn thảo chuẩn mực kế toán quốc gia sẽ tuân theo quy trình soạn thảo chuẩn mực riêng mà họ cho rằng là hài hòa nhất với quy trình soạn thảo chuẩn mực của IASB. Sự hài hòa này sẽ loại bỏ mọi sự trì hoãn không cần thiết trong quá trình soạn thảo chuẩn mực và hạn chế ở mức tối đa những sự khác biệt không cần thiết giữa chuẩn mực kế toán quốc tế và chuẩn mực kế toán quốc gia.</w:t>
      </w:r>
      <w:bookmarkStart w:id="22" w:name="_Toc259077505"/>
      <w:bookmarkStart w:id="23" w:name="_Toc259077550"/>
      <w:bookmarkStart w:id="24" w:name="_Toc261404100"/>
    </w:p>
    <w:p w:rsidR="002126EF" w:rsidRPr="00FB7DA8" w:rsidRDefault="002126EF" w:rsidP="00FB7DA8">
      <w:pPr>
        <w:pStyle w:val="ListParagraph"/>
        <w:spacing w:line="264" w:lineRule="auto"/>
        <w:ind w:left="0" w:firstLine="567"/>
        <w:jc w:val="both"/>
        <w:rPr>
          <w:color w:val="000000"/>
          <w:sz w:val="28"/>
          <w:szCs w:val="28"/>
        </w:rPr>
      </w:pPr>
      <w:r w:rsidRPr="00FB7DA8">
        <w:rPr>
          <w:rStyle w:val="Heading3Char1"/>
          <w:rFonts w:ascii="Times New Roman" w:hAnsi="Times New Roman" w:cs="Times New Roman"/>
          <w:i/>
          <w:iCs/>
          <w:color w:val="000000"/>
          <w:sz w:val="28"/>
          <w:szCs w:val="28"/>
        </w:rPr>
        <w:t>4. Lợi ích của việc ban hành các chuẩn mực kế toán quốc tế</w:t>
      </w:r>
      <w:bookmarkEnd w:id="22"/>
      <w:bookmarkEnd w:id="23"/>
      <w:r w:rsidRPr="00FB7DA8">
        <w:rPr>
          <w:color w:val="000000"/>
          <w:sz w:val="28"/>
          <w:szCs w:val="28"/>
        </w:rPr>
        <w:t>:</w:t>
      </w:r>
      <w:bookmarkEnd w:id="24"/>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Các chuẩn mực kế toán quốc tế ra đời dựa trên nhu cầu thực tế của đời sống. Chúng ta có thể liệt kê ra rất nhiều lợi ích của việc có những chuẩn mực quốc tế chung:</w:t>
      </w:r>
    </w:p>
    <w:p w:rsidR="002126EF" w:rsidRPr="00FB7DA8" w:rsidRDefault="002126EF" w:rsidP="00FB7DA8">
      <w:pPr>
        <w:pStyle w:val="Heading3"/>
        <w:spacing w:before="0" w:after="0" w:line="264" w:lineRule="auto"/>
        <w:ind w:firstLine="567"/>
        <w:jc w:val="both"/>
        <w:rPr>
          <w:rFonts w:ascii="Times New Roman" w:hAnsi="Times New Roman" w:cs="Times New Roman"/>
          <w:color w:val="000000"/>
          <w:sz w:val="28"/>
          <w:szCs w:val="28"/>
        </w:rPr>
      </w:pPr>
      <w:bookmarkStart w:id="25" w:name="_Toc261404101"/>
      <w:r w:rsidRPr="00FB7DA8">
        <w:rPr>
          <w:rFonts w:ascii="Times New Roman" w:hAnsi="Times New Roman" w:cs="Times New Roman"/>
          <w:color w:val="000000"/>
          <w:sz w:val="28"/>
          <w:szCs w:val="28"/>
        </w:rPr>
        <w:t>4.1. Lợi ích đối với các nhà đầu tư:</w:t>
      </w:r>
      <w:bookmarkEnd w:id="25"/>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 Các nhà đầu tư, cả nhà đầu tư cá nhân và nhà đầu tư tổ chức, sẽ có thể so sánh các kết quả tài chính của các công ty khác nhau nằm ở các nước khác nhau trên toàn thế giới cũng như đưa ra các quyết định đầu tư quốc tế một cách dễ dàng hơn và tốn kém ít chi phí hơn.</w:t>
      </w:r>
    </w:p>
    <w:p w:rsidR="002126EF" w:rsidRPr="00FB7DA8" w:rsidRDefault="002126EF" w:rsidP="00FB7DA8">
      <w:pPr>
        <w:pStyle w:val="Heading3"/>
        <w:spacing w:before="0" w:after="0" w:line="264" w:lineRule="auto"/>
        <w:ind w:firstLine="567"/>
        <w:jc w:val="both"/>
        <w:rPr>
          <w:rFonts w:ascii="Times New Roman" w:hAnsi="Times New Roman" w:cs="Times New Roman"/>
          <w:color w:val="000000"/>
          <w:sz w:val="28"/>
          <w:szCs w:val="28"/>
        </w:rPr>
      </w:pPr>
      <w:bookmarkStart w:id="26" w:name="_Toc261404102"/>
      <w:r w:rsidRPr="00FB7DA8">
        <w:rPr>
          <w:rFonts w:ascii="Times New Roman" w:hAnsi="Times New Roman" w:cs="Times New Roman"/>
          <w:color w:val="000000"/>
          <w:sz w:val="28"/>
          <w:szCs w:val="28"/>
        </w:rPr>
        <w:t>4.2. Lợi ích đối với các công ty đa quốc gia:</w:t>
      </w:r>
      <w:bookmarkEnd w:id="26"/>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 xml:space="preserve">- Các công ty đa quốc gia sẽ dễ dàng kêu gọi được vốn đầu tư từ các nhà đầu tư nước ngoài hơn. </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 xml:space="preserve">- Quản lý cũng dễ dàng hơn với các công ty này do cùng được soạn thảo trên một chuẩn mực kế toán chung làm cho các thông tin tài chính được truyền tải giữa công ty con và công ty mẹ dễ dàng hơn. </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 xml:space="preserve">- Việc thâu tóm và sáp nhập các công ty nước ngoài cũng dễ dàng hơn. Các công ty đa quốc gia cũng có thể tuân thủ theo các yêu cầu về báo cáo của các sở giao dịch chứng khoán ở nước ngoài được thuận lợi hơn. </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 xml:space="preserve">- Việc soạn thảo các báo cáo hợp nhất cấp tập đoàn sẽ không phải trải qua nhiều bước chuyển đổi từ báo cáo theo chuẩn mực kế toán quốc gia nơi công ty con đóng trụ sở sang báo cáo theo chuẩn mực kế toán nơi công ty mẹ đóng trụ sở. </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 xml:space="preserve">- Phí kiểm toán sẽ được giảm bớt do khi các báo cáo cùng được lập trên cùng một cơ sở thì sẽ tạo điều kiện cho kiểm toán kiểm tra nhanh hơn dẫn đến tốn ít thời gian và chi phí hơn.  </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 Việc điều chuyển các nhân viên kế toán từ nước này sang nươc khác sẽ trở nên dễ dàng hơn.</w:t>
      </w:r>
      <w:bookmarkStart w:id="27" w:name="_Toc261404103"/>
    </w:p>
    <w:p w:rsidR="002126EF" w:rsidRPr="00FB7DA8" w:rsidRDefault="002126EF" w:rsidP="00FB7DA8">
      <w:pPr>
        <w:pStyle w:val="ListParagraph"/>
        <w:spacing w:line="264" w:lineRule="auto"/>
        <w:ind w:left="0" w:firstLine="567"/>
        <w:jc w:val="both"/>
        <w:rPr>
          <w:b/>
          <w:bCs/>
          <w:color w:val="000000"/>
          <w:sz w:val="28"/>
          <w:szCs w:val="28"/>
        </w:rPr>
      </w:pPr>
      <w:r w:rsidRPr="00FB7DA8">
        <w:rPr>
          <w:b/>
          <w:bCs/>
          <w:color w:val="000000"/>
          <w:sz w:val="28"/>
          <w:szCs w:val="28"/>
        </w:rPr>
        <w:t>4.3. Lợi ích đối với các nước đang phát triển:</w:t>
      </w:r>
      <w:bookmarkEnd w:id="27"/>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 xml:space="preserve"> Chính phủ của các nước đang phát triển cũng sẽ tiết kiệm đươc thời gian nếu họ có thể sử dụng luụn cỏc chuẩn mực kế toán quốc tế thay vì phải soạn thảo các chuẩn mực kế toán riêng cho quốc gia mình. Nếu các quốc gia này sử dụng các chuẩn mực kế toán quốc tế thì họ có thể kiểm soát tốt hơn hoạt động của các công ty đa quốc gia đang hoạt động trong phạm vi lãnh thổ của nước mỡnh. Cỏc công ty này không thể viện lý do là họ không thể hiểu bản chất của các chuẩn mực kế toán quốc gia nờn khụng lập các báo cáo tuân theo các chuẩn mực.</w:t>
      </w:r>
    </w:p>
    <w:p w:rsidR="002126EF" w:rsidRPr="00FB7DA8" w:rsidRDefault="002126EF" w:rsidP="00FB7DA8">
      <w:pPr>
        <w:pStyle w:val="Heading3"/>
        <w:spacing w:before="0" w:after="0" w:line="264" w:lineRule="auto"/>
        <w:ind w:firstLine="567"/>
        <w:jc w:val="both"/>
        <w:rPr>
          <w:rFonts w:ascii="Times New Roman" w:hAnsi="Times New Roman" w:cs="Times New Roman"/>
          <w:color w:val="000000"/>
          <w:sz w:val="28"/>
          <w:szCs w:val="28"/>
        </w:rPr>
      </w:pPr>
      <w:bookmarkStart w:id="28" w:name="_Toc261404104"/>
      <w:r w:rsidRPr="00FB7DA8">
        <w:rPr>
          <w:rFonts w:ascii="Times New Roman" w:hAnsi="Times New Roman" w:cs="Times New Roman"/>
          <w:color w:val="000000"/>
          <w:sz w:val="28"/>
          <w:szCs w:val="28"/>
        </w:rPr>
        <w:t>4.4. Lợi ích đối với các cơ quan thuế:</w:t>
      </w:r>
      <w:bookmarkEnd w:id="28"/>
      <w:r w:rsidRPr="00FB7DA8">
        <w:rPr>
          <w:rFonts w:ascii="Times New Roman" w:hAnsi="Times New Roman" w:cs="Times New Roman"/>
          <w:color w:val="000000"/>
          <w:sz w:val="28"/>
          <w:szCs w:val="28"/>
        </w:rPr>
        <w:t xml:space="preserve"> </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việc tính thuế cho các khoản thu nhập có nguồn gốc nước ngoài của các nhà đầu tư hay của các công ty đa quốc gia sẽ dễ dàng hơn.</w:t>
      </w:r>
    </w:p>
    <w:p w:rsidR="002126EF" w:rsidRPr="00FB7DA8" w:rsidRDefault="002126EF" w:rsidP="00FB7DA8">
      <w:pPr>
        <w:pStyle w:val="Heading3"/>
        <w:spacing w:before="0" w:after="0" w:line="264" w:lineRule="auto"/>
        <w:ind w:firstLine="567"/>
        <w:jc w:val="both"/>
        <w:rPr>
          <w:rFonts w:ascii="Times New Roman" w:hAnsi="Times New Roman" w:cs="Times New Roman"/>
          <w:color w:val="000000"/>
          <w:sz w:val="28"/>
          <w:szCs w:val="28"/>
        </w:rPr>
      </w:pPr>
      <w:bookmarkStart w:id="29" w:name="_Toc261404105"/>
      <w:r w:rsidRPr="00FB7DA8">
        <w:rPr>
          <w:rFonts w:ascii="Times New Roman" w:hAnsi="Times New Roman" w:cs="Times New Roman"/>
          <w:color w:val="000000"/>
          <w:sz w:val="28"/>
          <w:szCs w:val="28"/>
        </w:rPr>
        <w:t>4.5. Lợi ích đối với việc xúc tiến thương mại trong khu vực:</w:t>
      </w:r>
      <w:bookmarkEnd w:id="29"/>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 xml:space="preserve"> Các tổ chức kinh tế khu vực có thể đẩy mạnh giao thương trong một khu vực địa lý nhất định nhờ có các chuẩn mực kế toán chung làm nền tảng cho việc lập và cung cấp các thông tin kế toán được thống nhất. Các nước trong khu vực khu tham gia buôn bán với nhau trong khu vực không phải mất thời gian và chi phí tìm hiểu, nghiên cứu về chuẩn mực kế toán của nước kia và cũng không tốn chi phí phải chuyển đổi báo cáo từ chuẩn mực của nước này sang chuẩn mực của nước khác.</w:t>
      </w:r>
    </w:p>
    <w:p w:rsidR="002126EF" w:rsidRPr="00FB7DA8" w:rsidRDefault="002126EF" w:rsidP="00FB7DA8">
      <w:pPr>
        <w:pStyle w:val="Heading3"/>
        <w:spacing w:before="0" w:after="0" w:line="264" w:lineRule="auto"/>
        <w:ind w:firstLine="567"/>
        <w:jc w:val="both"/>
        <w:rPr>
          <w:rFonts w:ascii="Times New Roman" w:hAnsi="Times New Roman" w:cs="Times New Roman"/>
          <w:color w:val="000000"/>
          <w:sz w:val="28"/>
          <w:szCs w:val="28"/>
        </w:rPr>
      </w:pPr>
      <w:bookmarkStart w:id="30" w:name="_Toc261404106"/>
      <w:r w:rsidRPr="00FB7DA8">
        <w:rPr>
          <w:rFonts w:ascii="Times New Roman" w:hAnsi="Times New Roman" w:cs="Times New Roman"/>
          <w:color w:val="000000"/>
          <w:sz w:val="28"/>
          <w:szCs w:val="28"/>
        </w:rPr>
        <w:t>4.6. Lợi ích đối với các công ty kế toán và kiểm toán</w:t>
      </w:r>
      <w:bookmarkEnd w:id="30"/>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 xml:space="preserve"> Các công ty kế toán hay kiểm toán cũng sẽ hoạt động dễ dàng hơn trên phạm vi quốc tế khi cú cỏc chuẩn mực kế toán quốc tế chung được sử dụng ở nhiều nước trên thế giới.</w:t>
      </w:r>
    </w:p>
    <w:p w:rsidR="002126EF" w:rsidRPr="00FB7DA8" w:rsidRDefault="002126EF" w:rsidP="00FB7DA8">
      <w:pPr>
        <w:pStyle w:val="Heading1"/>
        <w:spacing w:before="0" w:after="0" w:line="264" w:lineRule="auto"/>
        <w:ind w:firstLine="567"/>
        <w:jc w:val="both"/>
        <w:rPr>
          <w:rFonts w:ascii="Times New Roman" w:hAnsi="Times New Roman" w:cs="Times New Roman"/>
          <w:color w:val="000000"/>
          <w:sz w:val="28"/>
          <w:szCs w:val="28"/>
        </w:rPr>
      </w:pPr>
      <w:bookmarkStart w:id="31" w:name="_Toc259077506"/>
      <w:bookmarkStart w:id="32" w:name="_Toc259077551"/>
      <w:bookmarkStart w:id="33" w:name="_Toc261404107"/>
      <w:r w:rsidRPr="00FB7DA8">
        <w:rPr>
          <w:rFonts w:ascii="Times New Roman" w:hAnsi="Times New Roman" w:cs="Times New Roman"/>
          <w:color w:val="000000"/>
          <w:sz w:val="28"/>
          <w:szCs w:val="28"/>
        </w:rPr>
        <w:t>II. Chuẩn mực kế toán Việt Nam:</w:t>
      </w:r>
      <w:bookmarkEnd w:id="31"/>
      <w:bookmarkEnd w:id="32"/>
      <w:bookmarkEnd w:id="33"/>
    </w:p>
    <w:p w:rsidR="002126EF" w:rsidRPr="00FB7DA8" w:rsidRDefault="002126EF" w:rsidP="00FB7DA8">
      <w:pPr>
        <w:pStyle w:val="Heading2"/>
        <w:spacing w:before="0" w:after="0" w:line="264" w:lineRule="auto"/>
        <w:ind w:firstLine="567"/>
        <w:jc w:val="both"/>
        <w:rPr>
          <w:rFonts w:ascii="Times New Roman" w:hAnsi="Times New Roman" w:cs="Times New Roman"/>
          <w:color w:val="000000"/>
        </w:rPr>
      </w:pPr>
      <w:bookmarkStart w:id="34" w:name="_Toc259077507"/>
      <w:bookmarkStart w:id="35" w:name="_Toc259077552"/>
      <w:bookmarkStart w:id="36" w:name="_Toc261404108"/>
      <w:r w:rsidRPr="00FB7DA8">
        <w:rPr>
          <w:rFonts w:ascii="Times New Roman" w:hAnsi="Times New Roman" w:cs="Times New Roman"/>
          <w:color w:val="000000"/>
        </w:rPr>
        <w:t>1. Sự hình thành và phát triển của chuẩn mực kế toán Việt Nam:</w:t>
      </w:r>
      <w:bookmarkEnd w:id="34"/>
      <w:bookmarkEnd w:id="35"/>
      <w:bookmarkEnd w:id="36"/>
    </w:p>
    <w:p w:rsidR="002126EF" w:rsidRPr="00FB7DA8" w:rsidRDefault="002126EF" w:rsidP="00FB7DA8">
      <w:pPr>
        <w:pStyle w:val="Heading3"/>
        <w:spacing w:before="0" w:after="0" w:line="264" w:lineRule="auto"/>
        <w:ind w:firstLine="567"/>
        <w:jc w:val="both"/>
        <w:rPr>
          <w:rFonts w:ascii="Times New Roman" w:hAnsi="Times New Roman" w:cs="Times New Roman"/>
          <w:color w:val="000000"/>
          <w:sz w:val="28"/>
          <w:szCs w:val="28"/>
        </w:rPr>
      </w:pPr>
      <w:bookmarkStart w:id="37" w:name="_Toc261404109"/>
      <w:r w:rsidRPr="00FB7DA8">
        <w:rPr>
          <w:rFonts w:ascii="Times New Roman" w:hAnsi="Times New Roman" w:cs="Times New Roman"/>
          <w:color w:val="000000"/>
          <w:sz w:val="28"/>
          <w:szCs w:val="28"/>
        </w:rPr>
        <w:t>1.1. Hoàn cảnh ra đời của các chuẩn mực kế toán ở Việt Nam:</w:t>
      </w:r>
      <w:bookmarkEnd w:id="37"/>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 xml:space="preserve"> Trước khi mở cửa hội nhập, Việt Nam không có chuẩn mực kế toán mà chỉ có chế độ kế toán. Chế độ kế toán là các quy định do doanh nghiệp Nhà Nước ban hành chủ yếu để hướng dẫn các doanh nghiệp Nhà Nước và Hợp tác xã thực hiện công tác kế toán.</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Đến năm 2000, thời điểm các chuẩn mực kế toán đầu tiên được soạn thảo ở Việt Nam cũng là thời điểm chứng kiến nhiều biến động có ảnh hưởng tới hoạt động kế toán cả trên thế giới và ở Việt Nam. Như đã phân tích ở phần 1.2.1, năm 2000 được coi là mốc son đánh dấu nhiều thành công sau hơn 30 năm nỗ lực không ngừng nghỉ của IASC trong việc thúc đẩy sự tiếp nhận của cộng đồng quốc tế đối với các chuẩn mực kế toán quốc tế. IASC đã nhận được sự hẫu thuẫn từ IOSCO cũng như từ Cao Ủy Châu Âu với tuyên bố sử dụng các chuẩn mực kế toán quốc tế làm điều kiện cho việc niêm yết chứng khoán ở tất cả các nước thành viên của EU.</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Năm 2000 cũng là năm chứng kiến sự ra đời của thị trường chứng khoán Việt Nam ánh dấu bằng sự kiện khai trương Trung tâm Giao dịch chứng khoán TP HCM ngày 20/7/2000. Sự ra đời của thị trường chứng khoán tạo ra cơ hội cho các doanh nghiệp Việt Nam cú thờm một kênh thu hút vốn bằng việc niêm yết trên tại các trung tâm mà sau này thành các sở giao dịch chứng khoán. tuy nhiên, để có thể thu vốn được thỡ cỏc doanh nghiệp phải có những báo cáo tài chính phản ánh trung thực và hợp lý tình hình tài chính của doanh nghiệp cũng như có khả năng so sánh được giữa các doanh nghiệp. Nhu cầu đó đòi hỏi sự ra đời của các chuẩn mực kế toán ở Việt Nam để thống nhất cách hạch toán kế toán của các doanh nghiệp.</w:t>
      </w:r>
    </w:p>
    <w:p w:rsidR="002126EF" w:rsidRPr="00FB7DA8" w:rsidRDefault="002126EF" w:rsidP="00FB7DA8">
      <w:pPr>
        <w:pStyle w:val="Heading3"/>
        <w:spacing w:before="0" w:after="0" w:line="264" w:lineRule="auto"/>
        <w:ind w:firstLine="540"/>
        <w:jc w:val="both"/>
        <w:rPr>
          <w:rFonts w:ascii="Times New Roman" w:hAnsi="Times New Roman" w:cs="Times New Roman"/>
          <w:color w:val="000000"/>
          <w:sz w:val="28"/>
          <w:szCs w:val="28"/>
        </w:rPr>
      </w:pPr>
      <w:bookmarkStart w:id="38" w:name="_Toc261404110"/>
      <w:r w:rsidRPr="00FB7DA8">
        <w:rPr>
          <w:rFonts w:ascii="Times New Roman" w:hAnsi="Times New Roman" w:cs="Times New Roman"/>
          <w:color w:val="000000"/>
          <w:sz w:val="28"/>
          <w:szCs w:val="28"/>
        </w:rPr>
        <w:t>1.2. Việc ban hành các chuẩn mực kế toán ở Việt Nam:</w:t>
      </w:r>
      <w:bookmarkEnd w:id="38"/>
      <w:r w:rsidRPr="00FB7DA8">
        <w:rPr>
          <w:rFonts w:ascii="Times New Roman" w:hAnsi="Times New Roman" w:cs="Times New Roman"/>
          <w:color w:val="000000"/>
          <w:sz w:val="28"/>
          <w:szCs w:val="28"/>
        </w:rPr>
        <w:t xml:space="preserve"> </w:t>
      </w:r>
    </w:p>
    <w:p w:rsidR="002126EF" w:rsidRPr="00FB7DA8" w:rsidRDefault="002126EF" w:rsidP="00FB7DA8">
      <w:pPr>
        <w:pStyle w:val="ListParagraph"/>
        <w:spacing w:line="264" w:lineRule="auto"/>
        <w:ind w:left="0" w:firstLine="540"/>
        <w:jc w:val="both"/>
        <w:rPr>
          <w:color w:val="000000"/>
          <w:sz w:val="28"/>
          <w:szCs w:val="28"/>
        </w:rPr>
      </w:pPr>
      <w:r w:rsidRPr="00FB7DA8">
        <w:rPr>
          <w:color w:val="000000"/>
          <w:sz w:val="28"/>
          <w:szCs w:val="28"/>
        </w:rPr>
        <w:t>Việc soạn thảo và ban hành các chuẩn mực kế toán ở Việt Nam cú cỏc đặc điểm sau :</w:t>
      </w:r>
    </w:p>
    <w:p w:rsidR="002126EF" w:rsidRPr="00FB7DA8" w:rsidRDefault="002126EF" w:rsidP="00FB7DA8">
      <w:pPr>
        <w:pStyle w:val="Heading3"/>
        <w:spacing w:before="0" w:after="0" w:line="264" w:lineRule="auto"/>
        <w:ind w:firstLine="540"/>
        <w:jc w:val="both"/>
        <w:rPr>
          <w:rFonts w:ascii="Times New Roman" w:hAnsi="Times New Roman" w:cs="Times New Roman"/>
          <w:color w:val="000000"/>
          <w:sz w:val="28"/>
          <w:szCs w:val="28"/>
        </w:rPr>
      </w:pPr>
      <w:bookmarkStart w:id="39" w:name="_Toc261404111"/>
      <w:r w:rsidRPr="00FB7DA8">
        <w:rPr>
          <w:rFonts w:ascii="Times New Roman" w:hAnsi="Times New Roman" w:cs="Times New Roman"/>
          <w:color w:val="000000"/>
          <w:sz w:val="28"/>
          <w:szCs w:val="28"/>
        </w:rPr>
        <w:t>1.2.1. Các chuẩn mực kế toán Việt Nam được ban hành trên cở sở các chuẩn mực kế toán quốc tế :</w:t>
      </w:r>
      <w:bookmarkEnd w:id="39"/>
    </w:p>
    <w:p w:rsidR="002126EF" w:rsidRPr="00FB7DA8" w:rsidRDefault="002126EF" w:rsidP="00FB7DA8">
      <w:pPr>
        <w:pStyle w:val="ListParagraph"/>
        <w:spacing w:line="264" w:lineRule="auto"/>
        <w:ind w:left="0" w:firstLine="540"/>
        <w:jc w:val="both"/>
        <w:rPr>
          <w:color w:val="000000"/>
          <w:sz w:val="28"/>
          <w:szCs w:val="28"/>
        </w:rPr>
      </w:pPr>
      <w:r w:rsidRPr="00FB7DA8">
        <w:rPr>
          <w:color w:val="000000"/>
          <w:sz w:val="28"/>
          <w:szCs w:val="28"/>
        </w:rPr>
        <w:t>Các chuẩn mực này được soạn thảo dựa trên các chuẩn mực kế toán quốc tế đã được ban hành nhưng có sửa đổi bố sung một số điều. Điều này được thể hiện rõ ở khoản 2, điều 8 Luật kế toán số 03/2003/QH11: “Bộ Tài Chính quy định chuẩn mực kế toán trên cơ sở chuẩn mực kế toán quốc tế về kế toán và theo quy định của Luật này (Luật kế toỏn)”.</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Việc soạn thảo các chuẩn mực kế toán Việt Nam dựa trên các chuẩn mực kế toán quốc tế là một bước phát triển từ chỗ hoạt động kế toán chỉ chú trọng cho mục đích tính thuế sang một hệ thống kế toán toàn diên hơn, tiệm cận gần hơn với những quy định báo cáo tài chính phưc tạp trong các chuẩn mực kế toán quốc tế, góp phần tạo nên sự hài hòa quốc tế về hoạt động kế toán.</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Các chuẩn mực kế toán Việt Nam đã được dịch ra tiếng anh tạo điều kiện cho các nhà đầu tư nước ngoài, các nước thành viên trong khu vực và trên toàn thế giới có thể tiếp cận dễ dàng với hệ thống chuẩn mực kế toán Việt Nam. Điều này không chỉ góp phần hoàn thiện khuôn khổ pháp lý cho hoạt động kế toán của Việt Nam bắt nhịp kịp với sự hội nhập kế toán ở các nước có nền kinh tế thị trường mà quan trọng hơn là tạo môi trường pháp lý cho hội nhập kinh tế, quốc tế và khu vực.</w:t>
      </w:r>
    </w:p>
    <w:p w:rsidR="002126EF" w:rsidRPr="00FB7DA8" w:rsidRDefault="002126EF" w:rsidP="00FB7DA8">
      <w:pPr>
        <w:pStyle w:val="Heading3"/>
        <w:spacing w:before="0" w:after="0" w:line="264" w:lineRule="auto"/>
        <w:ind w:firstLine="540"/>
        <w:jc w:val="both"/>
        <w:rPr>
          <w:rFonts w:ascii="Times New Roman" w:hAnsi="Times New Roman" w:cs="Times New Roman"/>
          <w:color w:val="000000"/>
          <w:sz w:val="28"/>
          <w:szCs w:val="28"/>
        </w:rPr>
      </w:pPr>
      <w:bookmarkStart w:id="40" w:name="_Toc261404112"/>
      <w:r w:rsidRPr="00FB7DA8">
        <w:rPr>
          <w:rFonts w:ascii="Times New Roman" w:hAnsi="Times New Roman" w:cs="Times New Roman"/>
          <w:color w:val="000000"/>
          <w:sz w:val="28"/>
          <w:szCs w:val="28"/>
        </w:rPr>
        <w:t>1.2.2. Tuy dựa trên các chuẩn mực kế toán quốc tế nhưng tính đến nay số lượng của các chuẩn mực kế toán Việt Nam vẫn chưa tương đương:</w:t>
      </w:r>
      <w:bookmarkEnd w:id="40"/>
    </w:p>
    <w:p w:rsidR="002126EF" w:rsidRDefault="002126EF" w:rsidP="009F60EF">
      <w:pPr>
        <w:pStyle w:val="ListParagraph"/>
        <w:spacing w:line="264" w:lineRule="auto"/>
        <w:ind w:left="0" w:firstLine="540"/>
        <w:jc w:val="both"/>
        <w:rPr>
          <w:color w:val="000000"/>
          <w:sz w:val="28"/>
          <w:szCs w:val="28"/>
        </w:rPr>
      </w:pPr>
      <w:r w:rsidRPr="00FB7DA8">
        <w:rPr>
          <w:color w:val="000000"/>
          <w:sz w:val="28"/>
          <w:szCs w:val="28"/>
        </w:rPr>
        <w:t>Tính cho đến nay đó cú 5 đợt Bộ Tài Chính ban hành các chuẩn mực kế toán. Đợt 1 và đợt 2 là vào ngày 31 tháng 12 năm 2001 với 10 chuẩn mực kế toán đầu tiên. Đợt 3 là vào ngày 30 tháng 12 năm 2003 với 6 chuẩn mực kế toán. Đợt 4 là vào ngày 15 tháng 2 năm 2005 với 6 chuẩn mực kế toán và đợt 5 là vào ngày 28 tháng 12 năm 2005 với 4 chuẩn mực kế toán. Sau mỗi lần ban hành chuẩn mực đều có thông tư hướng dẫn đi kèm hướng dẫn cách hạch toán cụ thể trong từng trường hợp. Và cho đến tháng 12/2005, Bộ Tài Chính đã ban hành được hai mươi sáu chuẩn mực kế toán</w:t>
      </w:r>
    </w:p>
    <w:p w:rsidR="002126EF" w:rsidRPr="00382BAF" w:rsidRDefault="002126EF" w:rsidP="009F60EF">
      <w:pPr>
        <w:pStyle w:val="ListParagraph"/>
        <w:spacing w:line="264" w:lineRule="auto"/>
        <w:ind w:left="0" w:firstLine="540"/>
        <w:jc w:val="both"/>
        <w:rPr>
          <w:sz w:val="28"/>
          <w:szCs w:val="28"/>
        </w:rPr>
      </w:pPr>
      <w:r w:rsidRPr="00382BAF">
        <w:rPr>
          <w:sz w:val="28"/>
          <w:szCs w:val="28"/>
        </w:rPr>
        <w:t xml:space="preserve">Chuẩn mực kế toán số 01 – Chuẩn mực chung: </w:t>
      </w:r>
    </w:p>
    <w:p w:rsidR="002126EF" w:rsidRPr="00382BAF" w:rsidRDefault="002126EF" w:rsidP="009F60EF">
      <w:pPr>
        <w:pStyle w:val="ListParagraph"/>
        <w:spacing w:line="264" w:lineRule="auto"/>
        <w:ind w:left="0" w:firstLine="540"/>
        <w:jc w:val="both"/>
        <w:rPr>
          <w:sz w:val="28"/>
          <w:szCs w:val="28"/>
        </w:rPr>
      </w:pPr>
      <w:r w:rsidRPr="00382BAF">
        <w:rPr>
          <w:sz w:val="28"/>
          <w:szCs w:val="28"/>
        </w:rPr>
        <w:t xml:space="preserve">Chuẩn mực kế toán số 02 – Hàng tồn kho: </w:t>
      </w:r>
    </w:p>
    <w:p w:rsidR="002126EF" w:rsidRPr="00382BAF" w:rsidRDefault="002126EF" w:rsidP="009F60EF">
      <w:pPr>
        <w:pStyle w:val="ListParagraph"/>
        <w:spacing w:line="264" w:lineRule="auto"/>
        <w:ind w:left="0" w:firstLine="540"/>
        <w:jc w:val="both"/>
        <w:rPr>
          <w:sz w:val="28"/>
          <w:szCs w:val="28"/>
        </w:rPr>
      </w:pPr>
      <w:r w:rsidRPr="00382BAF">
        <w:rPr>
          <w:sz w:val="28"/>
          <w:szCs w:val="28"/>
        </w:rPr>
        <w:t xml:space="preserve">Chuẩn mực kế toán số 03 – Tài sản cố định hữu hình: </w:t>
      </w:r>
    </w:p>
    <w:p w:rsidR="002126EF" w:rsidRPr="00382BAF" w:rsidRDefault="002126EF" w:rsidP="009F60EF">
      <w:pPr>
        <w:pStyle w:val="ListParagraph"/>
        <w:spacing w:line="264" w:lineRule="auto"/>
        <w:ind w:left="0" w:firstLine="540"/>
        <w:jc w:val="both"/>
        <w:rPr>
          <w:sz w:val="28"/>
          <w:szCs w:val="28"/>
        </w:rPr>
      </w:pPr>
      <w:r w:rsidRPr="00382BAF">
        <w:rPr>
          <w:sz w:val="28"/>
          <w:szCs w:val="28"/>
        </w:rPr>
        <w:t xml:space="preserve">Chuẩn mực kế toán số 04 – Tài sản cố định vô hình: </w:t>
      </w:r>
    </w:p>
    <w:p w:rsidR="002126EF" w:rsidRPr="00382BAF" w:rsidRDefault="002126EF" w:rsidP="009F60EF">
      <w:pPr>
        <w:pStyle w:val="ListParagraph"/>
        <w:spacing w:line="264" w:lineRule="auto"/>
        <w:ind w:left="0" w:firstLine="540"/>
        <w:jc w:val="both"/>
        <w:rPr>
          <w:sz w:val="28"/>
          <w:szCs w:val="28"/>
        </w:rPr>
      </w:pPr>
      <w:r w:rsidRPr="00382BAF">
        <w:rPr>
          <w:sz w:val="28"/>
          <w:szCs w:val="28"/>
        </w:rPr>
        <w:t>Chuẩn mực kế toán số 05 – Bất động sản đầu tư</w:t>
      </w:r>
    </w:p>
    <w:p w:rsidR="002126EF" w:rsidRPr="00382BAF" w:rsidRDefault="002126EF" w:rsidP="009F60EF">
      <w:pPr>
        <w:pStyle w:val="ListParagraph"/>
        <w:spacing w:line="264" w:lineRule="auto"/>
        <w:ind w:left="0" w:firstLine="540"/>
        <w:jc w:val="both"/>
        <w:rPr>
          <w:sz w:val="28"/>
          <w:szCs w:val="28"/>
        </w:rPr>
      </w:pPr>
      <w:r w:rsidRPr="00382BAF">
        <w:rPr>
          <w:sz w:val="28"/>
          <w:szCs w:val="28"/>
        </w:rPr>
        <w:t>Chuẩn mực kế toán số 06 – Thuê tài sản</w:t>
      </w:r>
    </w:p>
    <w:p w:rsidR="002126EF" w:rsidRPr="00382BAF" w:rsidRDefault="002126EF" w:rsidP="009F60EF">
      <w:pPr>
        <w:pStyle w:val="ListParagraph"/>
        <w:spacing w:line="264" w:lineRule="auto"/>
        <w:ind w:left="0" w:firstLine="540"/>
        <w:jc w:val="both"/>
        <w:rPr>
          <w:sz w:val="28"/>
          <w:szCs w:val="28"/>
        </w:rPr>
      </w:pPr>
      <w:r w:rsidRPr="00382BAF">
        <w:rPr>
          <w:sz w:val="28"/>
          <w:szCs w:val="28"/>
        </w:rPr>
        <w:t>Chuẩn mực kế toán số 07 – Kế toán các khoản đầu tư vào công ty liên kết</w:t>
      </w:r>
    </w:p>
    <w:p w:rsidR="002126EF" w:rsidRPr="00382BAF" w:rsidRDefault="002126EF" w:rsidP="009F60EF">
      <w:pPr>
        <w:pStyle w:val="ListParagraph"/>
        <w:spacing w:line="264" w:lineRule="auto"/>
        <w:ind w:left="0" w:firstLine="540"/>
        <w:jc w:val="both"/>
        <w:rPr>
          <w:sz w:val="28"/>
          <w:szCs w:val="28"/>
        </w:rPr>
      </w:pPr>
      <w:r w:rsidRPr="00382BAF">
        <w:rPr>
          <w:sz w:val="28"/>
          <w:szCs w:val="28"/>
        </w:rPr>
        <w:t>Chuẩn mực kế toán số 08 – Thông tin tài chính về những khoản vốn góp liên doanh</w:t>
      </w:r>
    </w:p>
    <w:p w:rsidR="002126EF" w:rsidRPr="00382BAF" w:rsidRDefault="002126EF" w:rsidP="009F60EF">
      <w:pPr>
        <w:pStyle w:val="ListParagraph"/>
        <w:spacing w:line="264" w:lineRule="auto"/>
        <w:ind w:left="0" w:firstLine="540"/>
        <w:jc w:val="both"/>
        <w:rPr>
          <w:sz w:val="28"/>
          <w:szCs w:val="28"/>
        </w:rPr>
      </w:pPr>
      <w:r w:rsidRPr="00382BAF">
        <w:rPr>
          <w:sz w:val="28"/>
          <w:szCs w:val="28"/>
        </w:rPr>
        <w:t xml:space="preserve">Chuẩn mực kế toán số 10 – Ảnh hưởng của việc thay đổi tỷ giá hối đoái: </w:t>
      </w:r>
    </w:p>
    <w:p w:rsidR="002126EF" w:rsidRPr="00382BAF" w:rsidRDefault="002126EF" w:rsidP="009F60EF">
      <w:pPr>
        <w:pStyle w:val="ListParagraph"/>
        <w:spacing w:line="264" w:lineRule="auto"/>
        <w:ind w:left="0" w:firstLine="540"/>
        <w:jc w:val="both"/>
        <w:rPr>
          <w:sz w:val="28"/>
          <w:szCs w:val="28"/>
        </w:rPr>
      </w:pPr>
      <w:r w:rsidRPr="00382BAF">
        <w:rPr>
          <w:sz w:val="28"/>
          <w:szCs w:val="28"/>
        </w:rPr>
        <w:t>Chuẩn mực kế toán số 11 – Hợp nhất kinh doanh</w:t>
      </w:r>
    </w:p>
    <w:p w:rsidR="002126EF" w:rsidRPr="00382BAF" w:rsidRDefault="002126EF" w:rsidP="009F60EF">
      <w:pPr>
        <w:pStyle w:val="ListParagraph"/>
        <w:spacing w:line="264" w:lineRule="auto"/>
        <w:ind w:left="0" w:firstLine="540"/>
        <w:jc w:val="both"/>
        <w:rPr>
          <w:sz w:val="28"/>
          <w:szCs w:val="28"/>
        </w:rPr>
      </w:pPr>
      <w:r w:rsidRPr="00382BAF">
        <w:rPr>
          <w:sz w:val="28"/>
          <w:szCs w:val="28"/>
        </w:rPr>
        <w:t xml:space="preserve">Chuẩn mực kế toán số 14 – Doanh thu và thu nhập khác: </w:t>
      </w:r>
    </w:p>
    <w:p w:rsidR="002126EF" w:rsidRPr="00382BAF" w:rsidRDefault="002126EF" w:rsidP="009F60EF">
      <w:pPr>
        <w:pStyle w:val="ListParagraph"/>
        <w:spacing w:line="264" w:lineRule="auto"/>
        <w:ind w:left="0" w:firstLine="540"/>
        <w:jc w:val="both"/>
        <w:rPr>
          <w:sz w:val="28"/>
          <w:szCs w:val="28"/>
        </w:rPr>
      </w:pPr>
      <w:r w:rsidRPr="00382BAF">
        <w:rPr>
          <w:sz w:val="28"/>
          <w:szCs w:val="28"/>
        </w:rPr>
        <w:t>Chuẩn mực kế toán số 15 – Hợp đồng xây dựng</w:t>
      </w:r>
    </w:p>
    <w:p w:rsidR="002126EF" w:rsidRPr="00382BAF" w:rsidRDefault="002126EF" w:rsidP="009F60EF">
      <w:pPr>
        <w:pStyle w:val="ListParagraph"/>
        <w:spacing w:line="264" w:lineRule="auto"/>
        <w:ind w:left="0" w:firstLine="540"/>
        <w:jc w:val="both"/>
        <w:rPr>
          <w:sz w:val="28"/>
          <w:szCs w:val="28"/>
        </w:rPr>
      </w:pPr>
      <w:r w:rsidRPr="00382BAF">
        <w:rPr>
          <w:sz w:val="28"/>
          <w:szCs w:val="28"/>
        </w:rPr>
        <w:t>Chuẩn mực kế toán số 16 – Chi phí đi vay</w:t>
      </w:r>
    </w:p>
    <w:p w:rsidR="002126EF" w:rsidRPr="00382BAF" w:rsidRDefault="002126EF" w:rsidP="009F60EF">
      <w:pPr>
        <w:pStyle w:val="ListParagraph"/>
        <w:spacing w:line="264" w:lineRule="auto"/>
        <w:ind w:left="0" w:firstLine="540"/>
        <w:jc w:val="both"/>
        <w:rPr>
          <w:sz w:val="28"/>
          <w:szCs w:val="28"/>
        </w:rPr>
      </w:pPr>
      <w:r w:rsidRPr="00382BAF">
        <w:rPr>
          <w:sz w:val="28"/>
          <w:szCs w:val="28"/>
        </w:rPr>
        <w:t xml:space="preserve">Chuẩn mực kế toán số 17 – Thuế thu nhập doanh nghiệp: </w:t>
      </w:r>
    </w:p>
    <w:p w:rsidR="002126EF" w:rsidRPr="00382BAF" w:rsidRDefault="002126EF" w:rsidP="009F60EF">
      <w:pPr>
        <w:pStyle w:val="ListParagraph"/>
        <w:spacing w:line="264" w:lineRule="auto"/>
        <w:ind w:left="0" w:firstLine="540"/>
        <w:jc w:val="both"/>
        <w:rPr>
          <w:sz w:val="28"/>
          <w:szCs w:val="28"/>
        </w:rPr>
      </w:pPr>
      <w:r w:rsidRPr="00382BAF">
        <w:rPr>
          <w:sz w:val="28"/>
          <w:szCs w:val="28"/>
        </w:rPr>
        <w:t xml:space="preserve">Chuẩn mực kế toán số 18 – Các khoản dự phòng, tài sản và nợ tiềm tàng: </w:t>
      </w:r>
    </w:p>
    <w:p w:rsidR="002126EF" w:rsidRPr="00382BAF" w:rsidRDefault="002126EF" w:rsidP="009F60EF">
      <w:pPr>
        <w:pStyle w:val="ListParagraph"/>
        <w:spacing w:line="264" w:lineRule="auto"/>
        <w:ind w:left="0" w:firstLine="540"/>
        <w:jc w:val="both"/>
        <w:rPr>
          <w:sz w:val="28"/>
          <w:szCs w:val="28"/>
        </w:rPr>
      </w:pPr>
      <w:r w:rsidRPr="00382BAF">
        <w:rPr>
          <w:sz w:val="28"/>
          <w:szCs w:val="28"/>
        </w:rPr>
        <w:t>Chuẩn mực kế toán số 19 – Hợp đồng bảo hiểm</w:t>
      </w:r>
    </w:p>
    <w:p w:rsidR="002126EF" w:rsidRPr="00382BAF" w:rsidRDefault="002126EF" w:rsidP="009F60EF">
      <w:pPr>
        <w:pStyle w:val="ListParagraph"/>
        <w:spacing w:line="264" w:lineRule="auto"/>
        <w:ind w:left="0" w:firstLine="540"/>
        <w:jc w:val="both"/>
        <w:rPr>
          <w:sz w:val="28"/>
          <w:szCs w:val="28"/>
        </w:rPr>
      </w:pPr>
      <w:r w:rsidRPr="00382BAF">
        <w:rPr>
          <w:sz w:val="28"/>
          <w:szCs w:val="28"/>
        </w:rPr>
        <w:t xml:space="preserve">Chuẩn mực kế toán số 21 – Trình bày báo cáo tài chính: </w:t>
      </w:r>
    </w:p>
    <w:p w:rsidR="002126EF" w:rsidRPr="00382BAF" w:rsidRDefault="002126EF" w:rsidP="009F60EF">
      <w:pPr>
        <w:pStyle w:val="ListParagraph"/>
        <w:spacing w:line="264" w:lineRule="auto"/>
        <w:ind w:left="0" w:firstLine="540"/>
        <w:jc w:val="both"/>
        <w:rPr>
          <w:sz w:val="28"/>
          <w:szCs w:val="28"/>
        </w:rPr>
      </w:pPr>
      <w:r w:rsidRPr="00382BAF">
        <w:rPr>
          <w:sz w:val="28"/>
          <w:szCs w:val="28"/>
        </w:rPr>
        <w:t>Chuẩn mực kế toán số 22 – Trình bày bổ sung báo cáo tài chính của các ngân hàng và tổ chức tài chính tương tự</w:t>
      </w:r>
    </w:p>
    <w:p w:rsidR="002126EF" w:rsidRPr="00382BAF" w:rsidRDefault="002126EF" w:rsidP="009F60EF">
      <w:pPr>
        <w:pStyle w:val="ListParagraph"/>
        <w:spacing w:line="264" w:lineRule="auto"/>
        <w:ind w:left="0" w:firstLine="540"/>
        <w:jc w:val="both"/>
        <w:rPr>
          <w:sz w:val="28"/>
          <w:szCs w:val="28"/>
        </w:rPr>
      </w:pPr>
      <w:r w:rsidRPr="00382BAF">
        <w:rPr>
          <w:sz w:val="28"/>
          <w:szCs w:val="28"/>
        </w:rPr>
        <w:t xml:space="preserve">Chuẩn mực kế toán số 23 – Các sự kiện phát sinh sau ngày kết thúc kỳ kế toán năm: </w:t>
      </w:r>
    </w:p>
    <w:p w:rsidR="002126EF" w:rsidRPr="00382BAF" w:rsidRDefault="002126EF" w:rsidP="009F60EF">
      <w:pPr>
        <w:pStyle w:val="ListParagraph"/>
        <w:spacing w:line="264" w:lineRule="auto"/>
        <w:ind w:left="0" w:firstLine="540"/>
        <w:jc w:val="both"/>
        <w:rPr>
          <w:sz w:val="28"/>
          <w:szCs w:val="28"/>
        </w:rPr>
      </w:pPr>
      <w:r w:rsidRPr="00382BAF">
        <w:rPr>
          <w:sz w:val="28"/>
          <w:szCs w:val="28"/>
        </w:rPr>
        <w:t xml:space="preserve">Chuẩn mực kế toán số 24 – Báo cáo lưu chuyển tiền tệ: </w:t>
      </w:r>
    </w:p>
    <w:p w:rsidR="002126EF" w:rsidRPr="00382BAF" w:rsidRDefault="002126EF" w:rsidP="009F60EF">
      <w:pPr>
        <w:pStyle w:val="ListParagraph"/>
        <w:spacing w:line="264" w:lineRule="auto"/>
        <w:ind w:left="0" w:firstLine="540"/>
        <w:jc w:val="both"/>
        <w:rPr>
          <w:sz w:val="28"/>
          <w:szCs w:val="28"/>
        </w:rPr>
      </w:pPr>
      <w:r w:rsidRPr="00382BAF">
        <w:rPr>
          <w:sz w:val="28"/>
          <w:szCs w:val="28"/>
        </w:rPr>
        <w:t>Chuẩn mực kế toán số 25 – Báo cáo tài chính hợp nhất và kế toán khoản đầu tư vào công ty con</w:t>
      </w:r>
    </w:p>
    <w:p w:rsidR="002126EF" w:rsidRPr="00382BAF" w:rsidRDefault="002126EF" w:rsidP="009F60EF">
      <w:pPr>
        <w:pStyle w:val="ListParagraph"/>
        <w:spacing w:line="264" w:lineRule="auto"/>
        <w:ind w:left="0" w:firstLine="540"/>
        <w:jc w:val="both"/>
        <w:rPr>
          <w:sz w:val="28"/>
          <w:szCs w:val="28"/>
        </w:rPr>
      </w:pPr>
      <w:r w:rsidRPr="00382BAF">
        <w:rPr>
          <w:sz w:val="28"/>
          <w:szCs w:val="28"/>
        </w:rPr>
        <w:t>Chuẩn mực kế toán số 26 – Thông tin về các bên liên quan</w:t>
      </w:r>
    </w:p>
    <w:p w:rsidR="002126EF" w:rsidRPr="00382BAF" w:rsidRDefault="002126EF" w:rsidP="009F60EF">
      <w:pPr>
        <w:pStyle w:val="ListParagraph"/>
        <w:spacing w:line="264" w:lineRule="auto"/>
        <w:ind w:left="0" w:firstLine="540"/>
        <w:jc w:val="both"/>
        <w:rPr>
          <w:sz w:val="28"/>
          <w:szCs w:val="28"/>
        </w:rPr>
      </w:pPr>
      <w:r w:rsidRPr="00382BAF">
        <w:rPr>
          <w:sz w:val="28"/>
          <w:szCs w:val="28"/>
        </w:rPr>
        <w:t>Chuẩn mực kế toán số 27 – Báo cáo tài chính giữa niên độ</w:t>
      </w:r>
    </w:p>
    <w:p w:rsidR="002126EF" w:rsidRPr="00382BAF" w:rsidRDefault="002126EF" w:rsidP="009F60EF">
      <w:pPr>
        <w:pStyle w:val="ListParagraph"/>
        <w:spacing w:line="264" w:lineRule="auto"/>
        <w:ind w:left="0" w:firstLine="540"/>
        <w:jc w:val="both"/>
        <w:rPr>
          <w:sz w:val="28"/>
          <w:szCs w:val="28"/>
        </w:rPr>
      </w:pPr>
      <w:r w:rsidRPr="00382BAF">
        <w:rPr>
          <w:sz w:val="28"/>
          <w:szCs w:val="28"/>
        </w:rPr>
        <w:t>Chuẩn mực kế toán số 28 – Báo cáo bộ phận</w:t>
      </w:r>
    </w:p>
    <w:p w:rsidR="002126EF" w:rsidRPr="00382BAF" w:rsidRDefault="002126EF" w:rsidP="009F60EF">
      <w:pPr>
        <w:pStyle w:val="ListParagraph"/>
        <w:spacing w:line="264" w:lineRule="auto"/>
        <w:ind w:left="0" w:firstLine="540"/>
        <w:jc w:val="both"/>
        <w:rPr>
          <w:sz w:val="28"/>
          <w:szCs w:val="28"/>
        </w:rPr>
      </w:pPr>
      <w:r w:rsidRPr="00382BAF">
        <w:rPr>
          <w:sz w:val="28"/>
          <w:szCs w:val="28"/>
        </w:rPr>
        <w:t>Chuẩn mực kế toán số 29 – Thay đổi chính sách kế toán, ước tính kế toán và các sai sót</w:t>
      </w:r>
    </w:p>
    <w:p w:rsidR="002126EF" w:rsidRPr="00382BAF" w:rsidRDefault="002126EF" w:rsidP="009F60EF">
      <w:pPr>
        <w:pStyle w:val="ListParagraph"/>
        <w:spacing w:line="264" w:lineRule="auto"/>
        <w:ind w:left="0" w:firstLine="540"/>
        <w:jc w:val="both"/>
        <w:rPr>
          <w:sz w:val="28"/>
          <w:szCs w:val="28"/>
        </w:rPr>
      </w:pPr>
      <w:r w:rsidRPr="00382BAF">
        <w:rPr>
          <w:sz w:val="28"/>
          <w:szCs w:val="28"/>
        </w:rPr>
        <w:t>Chuẩn mực kế toán số 30 – Lãi trên cổ phiếu</w:t>
      </w:r>
    </w:p>
    <w:p w:rsidR="002126EF" w:rsidRPr="00FB7DA8" w:rsidRDefault="002126EF" w:rsidP="00FB7DA8">
      <w:pPr>
        <w:pStyle w:val="ListParagraph"/>
        <w:widowControl w:val="0"/>
        <w:spacing w:line="264" w:lineRule="auto"/>
        <w:ind w:left="0" w:firstLine="567"/>
        <w:jc w:val="both"/>
        <w:rPr>
          <w:color w:val="000000"/>
          <w:sz w:val="28"/>
          <w:szCs w:val="28"/>
        </w:rPr>
      </w:pPr>
      <w:r w:rsidRPr="00FB7DA8">
        <w:rPr>
          <w:color w:val="000000"/>
          <w:sz w:val="28"/>
          <w:szCs w:val="28"/>
        </w:rPr>
        <w:t>Như vậy, so với số lượng 38 chuẩn mực kế toán quốc tế hiện có (bao gồm 9 IFRS và 29 IAS) thì Việt Nam còn thiếu nhiều chuẩn mực tuơng đương.  Điều đó cho thấy có một số chuẩn mực kế toán mà Việt Nam còn phải nghiên cứu để soạn thảo nhằm đáp ứng nhu cầu hạch toán kế toán của các doanh nghiệp Việt Nam trong thời đại mà các giao dịch mới phát sinh ngày một nhiều và bản chất của các giao dịch kinh tế ngày một phức tạp. Việc thiếu các chuẩn mực hướng dẫn cho các doanh nghiệp xử lý các giao dịch khi chúng phát sinh sẽ gây ảnh hưởng không nhỏ đến tính trung thực và hợp lý của báo cáo tài chính cũng như không đáp ứng nhu cầu cung cấp thông tin cho người sử dụng.</w:t>
      </w:r>
    </w:p>
    <w:p w:rsidR="002126EF" w:rsidRPr="00FB7DA8" w:rsidRDefault="002126EF" w:rsidP="00FB7DA8">
      <w:pPr>
        <w:pStyle w:val="Heading3"/>
        <w:widowControl w:val="0"/>
        <w:spacing w:before="0" w:after="0" w:line="264" w:lineRule="auto"/>
        <w:ind w:firstLine="567"/>
        <w:jc w:val="both"/>
        <w:rPr>
          <w:rFonts w:ascii="Times New Roman" w:hAnsi="Times New Roman" w:cs="Times New Roman"/>
          <w:color w:val="000000"/>
          <w:sz w:val="28"/>
          <w:szCs w:val="28"/>
        </w:rPr>
      </w:pPr>
      <w:bookmarkStart w:id="41" w:name="_Toc261404113"/>
      <w:r w:rsidRPr="00FB7DA8">
        <w:rPr>
          <w:rFonts w:ascii="Times New Roman" w:hAnsi="Times New Roman" w:cs="Times New Roman"/>
          <w:color w:val="000000"/>
          <w:sz w:val="28"/>
          <w:szCs w:val="28"/>
        </w:rPr>
        <w:t>1.2.3. Việc soạn thảo các chuẩn mực kế toán Việt Nam không dựa trên một Khung Khái niệm (conceptual framework) :</w:t>
      </w:r>
      <w:bookmarkEnd w:id="41"/>
      <w:r w:rsidRPr="00FB7DA8">
        <w:rPr>
          <w:rFonts w:ascii="Times New Roman" w:hAnsi="Times New Roman" w:cs="Times New Roman"/>
          <w:color w:val="000000"/>
          <w:sz w:val="28"/>
          <w:szCs w:val="28"/>
        </w:rPr>
        <w:t xml:space="preserve"> </w:t>
      </w:r>
    </w:p>
    <w:p w:rsidR="002126EF" w:rsidRPr="00FB7DA8" w:rsidRDefault="002126EF" w:rsidP="00FB7DA8">
      <w:pPr>
        <w:pStyle w:val="ListParagraph"/>
        <w:widowControl w:val="0"/>
        <w:spacing w:line="264" w:lineRule="auto"/>
        <w:ind w:left="0" w:firstLine="567"/>
        <w:jc w:val="both"/>
        <w:rPr>
          <w:color w:val="000000"/>
          <w:sz w:val="28"/>
          <w:szCs w:val="28"/>
        </w:rPr>
      </w:pPr>
      <w:r w:rsidRPr="00FB7DA8">
        <w:rPr>
          <w:color w:val="000000"/>
          <w:sz w:val="28"/>
          <w:szCs w:val="28"/>
        </w:rPr>
        <w:t xml:space="preserve">Một vấn đề lớn nữa đối với việc soạn thảo và ban hành các chuẩn mực kế toán ở Việt Nam là chúng ta hiện nay chưa có một </w:t>
      </w:r>
      <w:r w:rsidRPr="00FB7DA8">
        <w:rPr>
          <w:b/>
          <w:bCs/>
          <w:color w:val="000000"/>
          <w:sz w:val="28"/>
          <w:szCs w:val="28"/>
        </w:rPr>
        <w:t xml:space="preserve">khung khái niệm </w:t>
      </w:r>
      <w:r w:rsidRPr="00FB7DA8">
        <w:rPr>
          <w:color w:val="000000"/>
          <w:sz w:val="28"/>
          <w:szCs w:val="28"/>
        </w:rPr>
        <w:t xml:space="preserve">(conceptual framework) để cung cấp nền tảng và những nguyên tắc cơ bản cho việc soạn thảo cũng như phát triển các chuẩn mực kế toán. Mục đích của việc xây dưng khung khái niệm là để đảm bảo rằng các chuẩn mực kế toán quốc tế được soạn thảo không mẫu thuẫn với nhau và cung cấp một cơ sở để đánh giá xem một hành vi không tuân theo chuẩn mực có thể được chấp nhận hay không nếu như nó khụng đi ngược lại các nguyên tắc đã được đề ra trong khung khái niệm. Có thể nói, khung khái niệm có chức năng như hiến pháp của một nước, đề ra các nguyên tắc cơ bản cho một hệ thống kế toán mà các chuẩn mực kế toán được soạn thảo theo khung khái niệm này không được có bất cứ quy định nào đi ngược lại tinh thần của khung khái niệm đó. </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Thiếu một khung khái niệm được xây dựng một cách rõ ràng, hoàn chỉnh dẫn đến việc hệ thống kế toán sẽ phải xây dựng theo hướng dựa trên các quy định và Việt Nam hiện đang đi theo hướng đó. Có rất nhiều quy định được soạn thảo để hướng dẫn cách hạch toán từng nghiệp vụ kinh tế cụ thể. Điều đó không chỉ làm cho hệ thống kế toán trở nên cồng kềnh mà còn khiến cho các quy định trong trong chuẩn mực được ban hành trước có thể không thống nhất với chẩn mực được ban hành sau.</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Những vấn đề trong việc xây dừng chuẩn mực kế toán Việt Nam được nêu ở trên là điều dễ hiểu vì quan điểm của xây dựng hệ thống chuẩn mực kế toán Việt Nam là phải phù hợp với điều kiện thực tế của Việt Nam, phù hợp với đặc thù về trình độ phát triển kinh tế, cơ chế chính trị, hệ thống pháp luật, văn hóa, xã hội của Việt Nam, phù hợp với trình độ nguồn nhân lực kế toán của Việt Nam. Những vấn đề này chỉ là tạm thời và sẽ dần dần được giải quyết khi nền kinh tế Việt Nam phát triển đến mức độ cao hơn, trình độ của nguồn nhân lực kế toán tốt hơn.</w:t>
      </w:r>
    </w:p>
    <w:p w:rsidR="002126EF" w:rsidRPr="00FB7DA8" w:rsidRDefault="002126EF" w:rsidP="00FB7DA8">
      <w:pPr>
        <w:pStyle w:val="Heading2"/>
        <w:spacing w:before="0" w:after="0" w:line="264" w:lineRule="auto"/>
        <w:ind w:firstLine="567"/>
        <w:jc w:val="both"/>
        <w:rPr>
          <w:rFonts w:ascii="Times New Roman" w:hAnsi="Times New Roman" w:cs="Times New Roman"/>
          <w:i w:val="0"/>
          <w:iCs w:val="0"/>
          <w:color w:val="000000"/>
        </w:rPr>
      </w:pPr>
      <w:bookmarkStart w:id="42" w:name="_Toc261404114"/>
      <w:r w:rsidRPr="00FB7DA8">
        <w:rPr>
          <w:rFonts w:ascii="Times New Roman" w:hAnsi="Times New Roman" w:cs="Times New Roman"/>
          <w:i w:val="0"/>
          <w:iCs w:val="0"/>
          <w:color w:val="000000"/>
        </w:rPr>
        <w:t>2. Cơ chế ban hành các chuẩn mực kế toán Việt Nam:</w:t>
      </w:r>
      <w:bookmarkEnd w:id="42"/>
    </w:p>
    <w:p w:rsidR="002126EF" w:rsidRPr="00FB7DA8" w:rsidRDefault="002126EF" w:rsidP="00FB7DA8">
      <w:pPr>
        <w:pStyle w:val="ListParagraph"/>
        <w:spacing w:line="264" w:lineRule="auto"/>
        <w:ind w:left="142" w:firstLine="567"/>
        <w:jc w:val="both"/>
        <w:rPr>
          <w:color w:val="000000"/>
          <w:sz w:val="28"/>
          <w:szCs w:val="28"/>
        </w:rPr>
      </w:pPr>
      <w:r w:rsidRPr="00FB7DA8">
        <w:rPr>
          <w:color w:val="000000"/>
          <w:sz w:val="28"/>
          <w:szCs w:val="28"/>
        </w:rPr>
        <w:t>Tại Việt nam, Quốc hội có thẩm quyền ban hành Luật kế toán. Bộ Tài Chính có thẩm quyền ban hành các chuẩn mực kế toán.</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Các chuẩn mực kế toán được nghiên cứu và soạn thảo bởi ban chỉ đạo nghiên cứu, soạn thảo chuẩn mực kế toán Việt Nam. Ban chỉ đạo gồm 13 thành viên, ngoài các thành viên từ các cơ quan thuộc Bộ Tài Chính còn bổ sung thờm cỏc thành viên từ các trường đại học và Hội kế toán  Việt Nam. Vụ chế độ kế toán là đơn vị thường trực của các ban chỉ đạo và các tổ soạn thảo chuẩn mực, có nhiệm vụ tổ chức triển khai việc soạn thảo, tiếp thu ý kiến và hoàn chỉnh trình Bộ ký ban hành.</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Hội đồng quốc gia về kế toán thuộc Bộ Tài Chính có chức năng tư vấn cho Bộ Trưởng Bộ Tài Chính về chiến lược, chính sách phát triển và các vấn đề khác liên quan đến kế toán, kiểm toán. Hội đồng bao gồm 1 chủ tịch, 2 phó chủ tịch và 14 ủy viên đến từ Bộ Tài Chính, các trường đại học và các bộ ngành. Bộ phận thường trực của Hội Đồng đặt tại vụ chế độ kế toán – Bộ Tài Chính.</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Theo Quyết định số 47/2005/QĐ-BTC,thỡ Bộ Tài Chính đó cú lộ trình bàn giao dần chức năng ban hành các chuẩn mực kế toán và kiểm toán cho Hội Kế toán và Kiểm toán Việt Nam, có tên gọi tắt theo tiếng Anh là VAA (Vietnamese Association of Accountants and Auditors).</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 xml:space="preserve"> Theo tác giả nhận định thì cơ chế soạn thảo chuẩn mực kế toán ở Việt Nam có một số vấn đề sau:</w:t>
      </w:r>
    </w:p>
    <w:p w:rsidR="002126EF" w:rsidRPr="00FB7DA8" w:rsidRDefault="002126EF" w:rsidP="00FB7DA8">
      <w:pPr>
        <w:pStyle w:val="ListParagraph"/>
        <w:spacing w:line="264" w:lineRule="auto"/>
        <w:ind w:left="0" w:firstLine="567"/>
        <w:jc w:val="both"/>
        <w:rPr>
          <w:color w:val="000000"/>
          <w:sz w:val="28"/>
          <w:szCs w:val="28"/>
        </w:rPr>
      </w:pPr>
      <w:r w:rsidRPr="00FB7DA8">
        <w:rPr>
          <w:b/>
          <w:bCs/>
          <w:color w:val="000000"/>
          <w:sz w:val="28"/>
          <w:szCs w:val="28"/>
        </w:rPr>
        <w:t>Một là</w:t>
      </w:r>
      <w:r w:rsidRPr="00FB7DA8">
        <w:rPr>
          <w:color w:val="000000"/>
          <w:sz w:val="28"/>
          <w:szCs w:val="28"/>
        </w:rPr>
        <w:t>, việc để cơ quan phụ trách soạn thảo và ban hành chuẩn mực kế toán là Bộ Tài chính sẽ khiến các chuẩn mực được soạn thảo có thể không khách quan, bị thiên lệch để phục vụ lợi ích của Nhà Nước hay của một nhóm lợi ích nào đó. Do Bộ Tài Chính cũng phụ trách việc soạn thảo và ban hành các thông tư hướng dẫn thi hành các luật thuế cũng như tham gia vào việc quyết định  các chính sách tài chính của Nhà Nước, các chuẩn mực kế toán được soạn thảo bởi Bộ Tài Chính có khả năng bị ảnh hưởng bởi các luật thuế và các chính sách tài chính. Các chuẩn mực có khả năng được soạn thảo để tận thu thuế nhiều nhất hay để phù hợp với các chính sách tài chính của Nhà Nước. Các doanh nghiệp cũng có thể can thiệp vào quá trình soạn thảo bằng việc vận động hành lang những người có tham gia vào quá trình soạn thảo hay những người có thẩm quyền quyết định ban hành chuẩn mực kế toán.</w:t>
      </w:r>
    </w:p>
    <w:p w:rsidR="002126EF" w:rsidRPr="00FB7DA8" w:rsidRDefault="002126EF" w:rsidP="00FB7DA8">
      <w:pPr>
        <w:pStyle w:val="ListParagraph"/>
        <w:spacing w:line="264" w:lineRule="auto"/>
        <w:ind w:left="0" w:firstLine="567"/>
        <w:jc w:val="both"/>
        <w:rPr>
          <w:color w:val="000000"/>
          <w:sz w:val="28"/>
          <w:szCs w:val="28"/>
        </w:rPr>
      </w:pPr>
      <w:r w:rsidRPr="00FB7DA8">
        <w:rPr>
          <w:b/>
          <w:bCs/>
          <w:color w:val="000000"/>
          <w:sz w:val="28"/>
          <w:szCs w:val="28"/>
        </w:rPr>
        <w:t>Hai là</w:t>
      </w:r>
      <w:r w:rsidRPr="00FB7DA8">
        <w:rPr>
          <w:color w:val="000000"/>
          <w:sz w:val="28"/>
          <w:szCs w:val="28"/>
        </w:rPr>
        <w:t>, cơ chế soạn thảo chuẩn mực kế toán của Việt Nam cũng chưa có chỗ cho việc lấy ý kiến của công chúng đặc biệt là các bên liên quan như các doanh nghiệp trong mọi lĩnh vực hay những người hành nghề kế toán, kiểm toán. Cho dù là việc soạn thảo chuẩn mực kế toán có được thực hiện bởi rất nhiều người có kinh nghiệm và tri thức về kế toán thì cũng không thể tránh khỏi việc các chuẩn mực đưa ra các quy định không rõ ràng, thiếu tính thực tiễn, gây khó khăn cho hoạt động của doanh nghiệp. Cho nên việc lấy ý kiến của công chúng không chỉ được thực hiện sau khi ban hành chuẩn mực mà nên được tiến hành khi đang trong quá trình soạn thảo.</w:t>
      </w:r>
    </w:p>
    <w:p w:rsidR="002126EF" w:rsidRPr="00FB7DA8" w:rsidRDefault="002126EF" w:rsidP="00FB7DA8">
      <w:pPr>
        <w:pStyle w:val="ListParagraph"/>
        <w:spacing w:line="264" w:lineRule="auto"/>
        <w:ind w:left="0" w:firstLine="567"/>
        <w:jc w:val="both"/>
        <w:rPr>
          <w:color w:val="000000"/>
          <w:sz w:val="28"/>
          <w:szCs w:val="28"/>
        </w:rPr>
      </w:pPr>
      <w:r w:rsidRPr="00FB7DA8">
        <w:rPr>
          <w:b/>
          <w:bCs/>
          <w:color w:val="000000"/>
          <w:sz w:val="28"/>
          <w:szCs w:val="28"/>
        </w:rPr>
        <w:t xml:space="preserve">Ba là, </w:t>
      </w:r>
      <w:r w:rsidRPr="00FB7DA8">
        <w:rPr>
          <w:color w:val="000000"/>
          <w:sz w:val="28"/>
          <w:szCs w:val="28"/>
        </w:rPr>
        <w:t xml:space="preserve">không nên giao việc soạn thảo chuẩn mực kế toán cho Hội kế toán và kiểm toán Việt Nam (VAA) vì như vậy là đi ngược lại xu hướng chung của thế giới. Như đã phân tích ở phần 2.1.1. về hoạt động của IASC, sự thay đổi từ IASC sang IASB là tuân theo xu hướng chuyển đổi từ mô hình để cho hội nghề nghiệp soạn thảo các chuẩn mực kế toán sang mô hình giao việc soạn thảo các chuẩn mực cho một hội đồng chuyên trách và độc lập. Như vậy nếu giao việc soạn thảo các chuẩn mực kế toán cho VAA là Việt Nam đang đi ngược lại xu hướng  chung của thế giới. VAA là hội của những kế toán và kiểm toán viên, họ là những người phải tuân theo chuẩn mực kế toán trong quá trình hoạt động của mình. Nếu để cho những người tuân theo chuẩn mực phụ trách việc soạn thảo chuẩn mực thì chẳng khác nào để cho họ tự đề ra luật chơi cho chính mình. </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 xml:space="preserve">Do đó, tác giả cho rằng nên thành lập một hội đồng soạn thảo chuẩn mực kế toán riêng  giống như mô hình của Hội đồng các chuẩn mực kế toán tài chính (FASB) của Mỹ hoặc Hội đồng chuẩn mực kế toán (ASB) của Anh. Hội đồng này sẽ hoàn toàn độc lập với cả Bộ Tài Chính lẫn VAA, chuyên trách về việc soạn thảo các chuẩn mực kế toán.  </w:t>
      </w:r>
    </w:p>
    <w:p w:rsidR="002126EF" w:rsidRPr="00FB7DA8" w:rsidRDefault="002126EF" w:rsidP="00FB7DA8">
      <w:pPr>
        <w:pStyle w:val="Heading2"/>
        <w:spacing w:before="0" w:after="0" w:line="264" w:lineRule="auto"/>
        <w:ind w:firstLine="567"/>
        <w:jc w:val="both"/>
        <w:rPr>
          <w:rFonts w:ascii="Times New Roman" w:hAnsi="Times New Roman" w:cs="Times New Roman"/>
          <w:i w:val="0"/>
          <w:iCs w:val="0"/>
          <w:color w:val="000000"/>
        </w:rPr>
      </w:pPr>
      <w:bookmarkStart w:id="43" w:name="_Toc259077508"/>
      <w:bookmarkStart w:id="44" w:name="_Toc259077553"/>
      <w:bookmarkStart w:id="45" w:name="_Toc261404115"/>
      <w:r w:rsidRPr="00FB7DA8">
        <w:rPr>
          <w:rFonts w:ascii="Times New Roman" w:hAnsi="Times New Roman" w:cs="Times New Roman"/>
          <w:i w:val="0"/>
          <w:iCs w:val="0"/>
          <w:color w:val="000000"/>
        </w:rPr>
        <w:t>3. Vai trò của các chuẩn mực kế toán đối với nền kinh tế Việt Nam:</w:t>
      </w:r>
      <w:bookmarkEnd w:id="43"/>
      <w:bookmarkEnd w:id="44"/>
      <w:bookmarkEnd w:id="45"/>
    </w:p>
    <w:p w:rsidR="002126EF" w:rsidRPr="00FB7DA8" w:rsidRDefault="002126EF" w:rsidP="00FB7DA8">
      <w:pPr>
        <w:pStyle w:val="Heading3"/>
        <w:spacing w:before="0" w:after="0" w:line="264" w:lineRule="auto"/>
        <w:ind w:firstLine="567"/>
        <w:jc w:val="both"/>
        <w:rPr>
          <w:rFonts w:ascii="Times New Roman" w:hAnsi="Times New Roman" w:cs="Times New Roman"/>
          <w:color w:val="000000"/>
          <w:sz w:val="28"/>
          <w:szCs w:val="28"/>
        </w:rPr>
      </w:pPr>
      <w:bookmarkStart w:id="46" w:name="_Toc261404116"/>
      <w:r w:rsidRPr="00FB7DA8">
        <w:rPr>
          <w:rFonts w:ascii="Times New Roman" w:hAnsi="Times New Roman" w:cs="Times New Roman"/>
          <w:color w:val="000000"/>
          <w:sz w:val="28"/>
          <w:szCs w:val="28"/>
        </w:rPr>
        <w:t>3.1. Thu hút vốn đầu tư nước ngoài và góp phần phát triển thị trường chứng khoán Việt Nam :</w:t>
      </w:r>
      <w:bookmarkEnd w:id="46"/>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Việt Nam đang thúc đẩy sự phát triển của nền kinh tế thị trường với việc đa dạng hóa các loại hình doanh nghiệp, các thành phần kinh tế khác ngoài doanh nghiệp nhà nước. Trước đây, chúng ta chỉ có những chính sách tài chính, quy định dành riêng cho các doanh nghiệp nhà nước mà không cú cỏc chính sách và quy định đối với doanh nghiệp cổ phần và trách nhiệm hữu hạn, từ đó, không tạo ra môi trường bình đẳng và sự đồng nhất, có thể so sánh được. Còn ngày nay, cạnh tranh mạnh mẽ hơn, bình đẳng hơn đòi hỏi các doanh nghiệp phải công khai thông tin một cách hữu hiệu hơn để tăng cường thu hút đầu tư. Thêm vào đó nhu cầu của nhà đầu tư là có một cơ sở để so sánh các công ty với nhau nhằm đưa ra các quyết định đầu tư bắt đầu nảy sinh cùng với sự ra đời của thị trường chứng khoán Việt Nam và sự thay đổi trong chính sách đầu tư của Việt Nam. Đó là Chính phủ Việt Nam ngày càng mong muốn kêu gọi các nhà đầu tư nước ngoài đổ vốn vào Việt Nam.</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 xml:space="preserve">Do đó, sự ra đời của hệ thống chuẩn mực kế toán đã đáp ứng nhu cầu minh bạch hóa thông tin của doanh nghiệp thụng cỏc báo cáo tài chính có khả năng phản ánh đúng thực trạng kinh doanh của doanh nghiệp và tạo một cơ sở chung để so sánh các doanh nghiệp với nhau. Không phải chỉ là sự so sánh giữa các loại hình doanh nghiệp ở Việt Nam, mà còn có thể so sánh doanh nghiệp Việt Nam với những doanh nghiệp nước ngoài, hoặc là doanh nghiệp nước ngoài cũng có thể so sánh với doanh nghiệp Việt Nam. Vì thế, mục tiêu của chuẩn mực kế toán là rất cao và khác hẳn với cơ chế chính sách mà Việt Nam đó cú từ những năm trước. </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 xml:space="preserve">Đõy chính là tiền đề cho sự phát triển của thị trường chứng khoán Việt Nam vì yêu cầu đặt ra đối với các công ty niêm yết là phải công khai, minh bạch thông tin và báo cáo tài chính trung thực. </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Đây cũng là một nhân tố tạo lòng tin cho nhà đầu tư nước ngoài do rủi ro đối với việc thông tin tài chính không được minh bạch hóa ở Việt Nam đã được giảm bớt. Nhà đầu tư nước ngoài có thể an tâm hơn khi đầu tư ở Việt Nam.</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Cả hai điều này cộng lại đó giỳp doanh nghiệp Việt Nam huy động vốn được dễ dàng hơn, là nền tảng cho sự phát triển kinh tế ở Việt Nam.</w:t>
      </w:r>
    </w:p>
    <w:p w:rsidR="002126EF" w:rsidRPr="00FB7DA8" w:rsidRDefault="002126EF" w:rsidP="00FB7DA8">
      <w:pPr>
        <w:pStyle w:val="Heading3"/>
        <w:spacing w:before="0" w:after="0" w:line="264" w:lineRule="auto"/>
        <w:ind w:firstLine="567"/>
        <w:jc w:val="both"/>
        <w:rPr>
          <w:rFonts w:ascii="Times New Roman" w:hAnsi="Times New Roman" w:cs="Times New Roman"/>
          <w:color w:val="000000"/>
          <w:sz w:val="28"/>
          <w:szCs w:val="28"/>
        </w:rPr>
      </w:pPr>
      <w:bookmarkStart w:id="47" w:name="_Toc261404117"/>
      <w:r w:rsidRPr="00FB7DA8">
        <w:rPr>
          <w:rFonts w:ascii="Times New Roman" w:hAnsi="Times New Roman" w:cs="Times New Roman"/>
          <w:color w:val="000000"/>
          <w:sz w:val="28"/>
          <w:szCs w:val="28"/>
        </w:rPr>
        <w:t>3.2. Quản lý tài chính ở tầm vĩ mô của Nhà Nước :</w:t>
      </w:r>
      <w:bookmarkEnd w:id="47"/>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 xml:space="preserve">Hệ thống chuẩn mực kế toán có vai trò không nhỏ trong việc quản lý tài chính tầm vĩ mô của Nhà nước thông qua hệ thống các cơ quan chức năng như thuế, thanh tra tài chớnh… . Đối với các cơ quan chức năng của Nhà nước, hệ thống chuẩn mực kế toán là một trong những cơ sở để kiểm tra, kiểm soát đánh giá trách nhiệm của kế toán và những người có liên quan đồng thời thông qua đó nhằm nâng cao chất lượng nghề nghiệp của chớnh cỏc cơ quan quản lý này. Vì vậy, đội ngũ cán bộ thuế, thanh tra tài chính...  phải thường xuyên bồi dưỡng nâng cao kiến thức nghiệp vụ kế toán thường xuyên mới đáp ứng được yêu cầu công việc. </w:t>
      </w:r>
    </w:p>
    <w:p w:rsidR="002126EF" w:rsidRPr="00FB7DA8" w:rsidRDefault="002126EF" w:rsidP="00FB7DA8">
      <w:pPr>
        <w:pStyle w:val="Heading3"/>
        <w:spacing w:before="0" w:after="0" w:line="264" w:lineRule="auto"/>
        <w:ind w:firstLine="567"/>
        <w:jc w:val="both"/>
        <w:rPr>
          <w:rFonts w:ascii="Times New Roman" w:hAnsi="Times New Roman" w:cs="Times New Roman"/>
          <w:color w:val="000000"/>
          <w:sz w:val="28"/>
          <w:szCs w:val="28"/>
        </w:rPr>
      </w:pPr>
      <w:bookmarkStart w:id="48" w:name="_Toc261404118"/>
      <w:r w:rsidRPr="00FB7DA8">
        <w:rPr>
          <w:rFonts w:ascii="Times New Roman" w:hAnsi="Times New Roman" w:cs="Times New Roman"/>
          <w:color w:val="000000"/>
          <w:sz w:val="28"/>
          <w:szCs w:val="28"/>
        </w:rPr>
        <w:t>3.3. Góp phần phát triển hoạt động kế toán, kiểm toán ở Việt Nam :</w:t>
      </w:r>
      <w:bookmarkEnd w:id="48"/>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Khi gia nhập WTO, Việt Nam cam kết mở cửa hội nhập về dịch vụ kế toán, kiểm toán. Kế toán, kiểm toán đã trở thành một nghề nghiệp được xã hội và pháp luật thừa nhận thì sự cần thiết phải có chuẩn mực kế toán để hướng dẫn và kiểm tra là tất yếu</w:t>
      </w:r>
    </w:p>
    <w:p w:rsidR="002126EF" w:rsidRPr="00FB7DA8" w:rsidRDefault="002126EF" w:rsidP="00FB7DA8">
      <w:pPr>
        <w:pStyle w:val="ListParagraph"/>
        <w:spacing w:line="264" w:lineRule="auto"/>
        <w:ind w:left="0" w:firstLine="567"/>
        <w:jc w:val="both"/>
        <w:rPr>
          <w:color w:val="000000"/>
          <w:sz w:val="28"/>
          <w:szCs w:val="28"/>
        </w:rPr>
      </w:pPr>
      <w:r w:rsidRPr="00FB7DA8">
        <w:rPr>
          <w:color w:val="000000"/>
          <w:sz w:val="28"/>
          <w:szCs w:val="28"/>
        </w:rPr>
        <w:t>Thực tế vận dụng chuẩn mực kế toán Việt Nam  vào thực tiễn cho thấy về cơ bản nội dung của các chuẩn mực kế toán Việt Nam là có sự thống nhất, không có sự xung đột với các cơ chế tài chính hiện hành nhờ đó tạo điều kiện thuận lợi cho các doanh nghiệp trong quá trình thực hiện.</w:t>
      </w:r>
    </w:p>
    <w:p w:rsidR="002126EF" w:rsidRPr="00FB7DA8" w:rsidRDefault="002126EF" w:rsidP="00FB7DA8">
      <w:pPr>
        <w:spacing w:line="264" w:lineRule="auto"/>
        <w:jc w:val="both"/>
        <w:rPr>
          <w:b/>
          <w:bCs/>
          <w:color w:val="000000"/>
          <w:sz w:val="28"/>
          <w:szCs w:val="28"/>
        </w:rPr>
      </w:pPr>
      <w:r w:rsidRPr="00FB7DA8">
        <w:rPr>
          <w:color w:val="000000"/>
          <w:sz w:val="28"/>
          <w:szCs w:val="28"/>
        </w:rPr>
        <w:tab/>
      </w:r>
      <w:r w:rsidRPr="00FB7DA8">
        <w:rPr>
          <w:b/>
          <w:bCs/>
          <w:color w:val="000000"/>
          <w:sz w:val="28"/>
          <w:szCs w:val="28"/>
        </w:rPr>
        <w:t>III. Những khác biệt giữa hệ thống chuẩn mực kế toán quốc tế và chuẩn mực kế toán Việt Nam.</w:t>
      </w:r>
    </w:p>
    <w:p w:rsidR="002126EF" w:rsidRPr="00FB7DA8" w:rsidRDefault="002126EF" w:rsidP="00FB7DA8">
      <w:pPr>
        <w:spacing w:line="264" w:lineRule="auto"/>
        <w:jc w:val="both"/>
        <w:rPr>
          <w:b/>
          <w:bCs/>
          <w:color w:val="000000"/>
          <w:sz w:val="28"/>
          <w:szCs w:val="28"/>
        </w:rPr>
      </w:pPr>
      <w:r w:rsidRPr="00FB7DA8">
        <w:rPr>
          <w:b/>
          <w:bCs/>
          <w:color w:val="000000"/>
          <w:sz w:val="28"/>
          <w:szCs w:val="28"/>
        </w:rPr>
        <w:tab/>
        <w:t>1. Những khác biệt giữa hệ thống chuẩn mực kế toán quốc tế và chuẩn mực kế toán Việt Nam.</w:t>
      </w:r>
    </w:p>
    <w:p w:rsidR="002126EF" w:rsidRPr="00292B72" w:rsidRDefault="002126EF" w:rsidP="00FB7DA8">
      <w:pPr>
        <w:spacing w:line="264" w:lineRule="auto"/>
        <w:ind w:firstLine="720"/>
        <w:jc w:val="both"/>
        <w:outlineLvl w:val="2"/>
        <w:rPr>
          <w:b/>
          <w:bCs/>
          <w:sz w:val="28"/>
          <w:szCs w:val="28"/>
        </w:rPr>
      </w:pPr>
      <w:r w:rsidRPr="00FB7DA8">
        <w:rPr>
          <w:b/>
          <w:bCs/>
          <w:sz w:val="28"/>
          <w:szCs w:val="28"/>
        </w:rPr>
        <w:t xml:space="preserve">* </w:t>
      </w:r>
      <w:r w:rsidRPr="00292B72">
        <w:rPr>
          <w:b/>
          <w:bCs/>
          <w:sz w:val="28"/>
          <w:szCs w:val="28"/>
        </w:rPr>
        <w:t>Hình Thức</w:t>
      </w:r>
    </w:p>
    <w:p w:rsidR="002126EF" w:rsidRPr="00FB7DA8" w:rsidRDefault="002126EF" w:rsidP="00FB7DA8">
      <w:pPr>
        <w:spacing w:line="264" w:lineRule="auto"/>
        <w:ind w:firstLine="720"/>
        <w:jc w:val="both"/>
        <w:rPr>
          <w:sz w:val="28"/>
          <w:szCs w:val="28"/>
        </w:rPr>
      </w:pPr>
      <w:r w:rsidRPr="00292B72">
        <w:rPr>
          <w:sz w:val="28"/>
          <w:szCs w:val="28"/>
        </w:rPr>
        <w:t>So với chuẩn mực kế toán VAS, </w:t>
      </w:r>
      <w:r w:rsidRPr="00292B72">
        <w:rPr>
          <w:b/>
          <w:bCs/>
          <w:sz w:val="28"/>
          <w:szCs w:val="28"/>
        </w:rPr>
        <w:t>IAS không bị áp đặt về hình thức</w:t>
      </w:r>
      <w:r w:rsidRPr="00292B72">
        <w:rPr>
          <w:sz w:val="28"/>
          <w:szCs w:val="28"/>
        </w:rPr>
        <w:t> </w:t>
      </w:r>
      <w:r w:rsidRPr="00292B72">
        <w:rPr>
          <w:i/>
          <w:iCs/>
          <w:sz w:val="28"/>
          <w:szCs w:val="28"/>
        </w:rPr>
        <w:t>(như hệ thống tài khoản (Chart of Account) biểu mẫu báo cáo (Accounting form), hình thức sổ kế toán (Ledgers)</w:t>
      </w:r>
      <w:r w:rsidRPr="00292B72">
        <w:rPr>
          <w:sz w:val="28"/>
          <w:szCs w:val="28"/>
        </w:rPr>
        <w:t>. IAS/IFRS hầu hết không quy định về các biểu mẫu kế toán và các doanh nghiệp sử dụng IAS/IFRS đều được tự do sử dụng hệ thống tài khoản cũng như các biểu mẫu kế toán phù hợp và thuận lợi với đặc thù của doanh nghiệp (Ví dụ như những doanh nghiệp áp dụng VAS thì tiền mặt sẽ phải có số tài khoản là 111, còn những doanh nghiệp áp dụng IAS/IFRS thì có thể tự do đặt số cho tài khoản này).</w:t>
      </w:r>
    </w:p>
    <w:p w:rsidR="002126EF" w:rsidRPr="00FB7DA8" w:rsidRDefault="002126EF" w:rsidP="00FB7DA8">
      <w:pPr>
        <w:spacing w:line="264" w:lineRule="auto"/>
        <w:ind w:firstLine="720"/>
        <w:jc w:val="both"/>
        <w:rPr>
          <w:sz w:val="28"/>
          <w:szCs w:val="28"/>
        </w:rPr>
      </w:pPr>
      <w:r w:rsidRPr="00292B72">
        <w:rPr>
          <w:sz w:val="28"/>
          <w:szCs w:val="28"/>
        </w:rPr>
        <w:t>IAS còn đưa ra một bộ khung về khái niệm và giữa các chuẩn mực đều có tính thống nhất rất cao. VAS còn nhiều vấn đề chưa rõ ràng, thiếu bộ khung về định nghĩa cũng như tính thống nhất giữa các chuẩn mực kế toán.</w:t>
      </w:r>
    </w:p>
    <w:p w:rsidR="002126EF" w:rsidRPr="00292B72" w:rsidRDefault="002126EF" w:rsidP="00FB7DA8">
      <w:pPr>
        <w:spacing w:line="264" w:lineRule="auto"/>
        <w:ind w:firstLine="720"/>
        <w:jc w:val="both"/>
        <w:rPr>
          <w:sz w:val="28"/>
          <w:szCs w:val="28"/>
        </w:rPr>
      </w:pPr>
      <w:r w:rsidRPr="00FB7DA8">
        <w:rPr>
          <w:sz w:val="28"/>
          <w:szCs w:val="28"/>
        </w:rPr>
        <w:t xml:space="preserve">* </w:t>
      </w:r>
      <w:r w:rsidRPr="00292B72">
        <w:rPr>
          <w:b/>
          <w:bCs/>
          <w:sz w:val="28"/>
          <w:szCs w:val="28"/>
        </w:rPr>
        <w:t>Hệ Thống Tài Khoản (Chart of Account)</w:t>
      </w:r>
    </w:p>
    <w:p w:rsidR="002126EF" w:rsidRPr="00FB7DA8" w:rsidRDefault="002126EF" w:rsidP="00FB7DA8">
      <w:pPr>
        <w:spacing w:line="264" w:lineRule="auto"/>
        <w:ind w:firstLine="720"/>
        <w:jc w:val="both"/>
        <w:rPr>
          <w:sz w:val="28"/>
          <w:szCs w:val="28"/>
        </w:rPr>
      </w:pPr>
      <w:r w:rsidRPr="00292B72">
        <w:rPr>
          <w:sz w:val="28"/>
          <w:szCs w:val="28"/>
        </w:rPr>
        <w:t>IAS/IFRS</w:t>
      </w:r>
      <w:r w:rsidRPr="00292B72">
        <w:rPr>
          <w:b/>
          <w:bCs/>
          <w:sz w:val="28"/>
          <w:szCs w:val="28"/>
        </w:rPr>
        <w:t> </w:t>
      </w:r>
      <w:r w:rsidRPr="00292B72">
        <w:rPr>
          <w:sz w:val="28"/>
          <w:szCs w:val="28"/>
        </w:rPr>
        <w:t>chỉ quy định về hình thức của các báo cáo tài chính theo IAS 1 mà không quy định về hệ thống tài khoản kế toán. Doanh nghiệp được phép tự tạo ra hệ thống tài khoản kế toán để phù hợp hơn với yêu cầu về báo cáo tài chính cũng như báo cáo quản trị.</w:t>
      </w:r>
    </w:p>
    <w:p w:rsidR="002126EF" w:rsidRPr="00FB7DA8" w:rsidRDefault="002126EF" w:rsidP="00FB7DA8">
      <w:pPr>
        <w:spacing w:line="264" w:lineRule="auto"/>
        <w:ind w:firstLine="720"/>
        <w:jc w:val="both"/>
        <w:rPr>
          <w:sz w:val="28"/>
          <w:szCs w:val="28"/>
        </w:rPr>
      </w:pPr>
      <w:r w:rsidRPr="00292B72">
        <w:rPr>
          <w:sz w:val="28"/>
          <w:szCs w:val="28"/>
        </w:rPr>
        <w:t xml:space="preserve">Việc bắt buộc đối với doanh nghiệp về hệ thống tài khoản đôi khi gây ra những bất lợi cho những doanh nghiệp nước ngoài tại Việt Nam vì các doanh nghiệp thường gặp khó khăn trong chuyển đổi và làm giảm tính thống nhất giữa các công ty trong cùng tập đoàn. </w:t>
      </w:r>
    </w:p>
    <w:p w:rsidR="002126EF" w:rsidRPr="00FB7DA8" w:rsidRDefault="002126EF" w:rsidP="00FB7DA8">
      <w:pPr>
        <w:spacing w:line="264" w:lineRule="auto"/>
        <w:ind w:firstLine="720"/>
        <w:jc w:val="both"/>
        <w:rPr>
          <w:sz w:val="28"/>
          <w:szCs w:val="28"/>
        </w:rPr>
      </w:pPr>
      <w:r w:rsidRPr="00292B72">
        <w:rPr>
          <w:sz w:val="28"/>
          <w:szCs w:val="28"/>
        </w:rPr>
        <w:t>Có nhiều ý kiến cho rằng hệ thống tài khoản ở Việt Nam chỉ nên mang tính định hướng cho doanh nghiệp thay vì bắt buộc như hiện tại.</w:t>
      </w:r>
    </w:p>
    <w:p w:rsidR="002126EF" w:rsidRPr="00FB7DA8" w:rsidRDefault="002126EF" w:rsidP="00FB7DA8">
      <w:pPr>
        <w:spacing w:line="264" w:lineRule="auto"/>
        <w:ind w:firstLine="720"/>
        <w:jc w:val="both"/>
        <w:rPr>
          <w:sz w:val="28"/>
          <w:szCs w:val="28"/>
        </w:rPr>
      </w:pPr>
      <w:r w:rsidRPr="00FB7DA8">
        <w:rPr>
          <w:b/>
          <w:bCs/>
          <w:sz w:val="28"/>
          <w:szCs w:val="28"/>
        </w:rPr>
        <w:t>*</w:t>
      </w:r>
      <w:r w:rsidRPr="00FB7DA8">
        <w:rPr>
          <w:sz w:val="28"/>
          <w:szCs w:val="28"/>
        </w:rPr>
        <w:t xml:space="preserve"> </w:t>
      </w:r>
      <w:r w:rsidRPr="00292B72">
        <w:rPr>
          <w:b/>
          <w:bCs/>
          <w:sz w:val="28"/>
          <w:szCs w:val="28"/>
        </w:rPr>
        <w:t>Các Chuẩn Mực Kế toán Cơ Bản</w:t>
      </w:r>
    </w:p>
    <w:p w:rsidR="002126EF" w:rsidRPr="00FB7DA8" w:rsidRDefault="002126EF" w:rsidP="00FB7DA8">
      <w:pPr>
        <w:spacing w:line="264" w:lineRule="auto"/>
        <w:ind w:firstLine="720"/>
        <w:jc w:val="both"/>
        <w:rPr>
          <w:sz w:val="28"/>
          <w:szCs w:val="28"/>
        </w:rPr>
      </w:pPr>
      <w:r w:rsidRPr="00FB7DA8">
        <w:rPr>
          <w:sz w:val="28"/>
          <w:szCs w:val="28"/>
        </w:rPr>
        <w:t xml:space="preserve">- </w:t>
      </w:r>
      <w:r w:rsidRPr="00FB7DA8">
        <w:rPr>
          <w:b/>
          <w:bCs/>
          <w:sz w:val="28"/>
          <w:szCs w:val="28"/>
        </w:rPr>
        <w:t>VAS</w:t>
      </w:r>
      <w:r w:rsidRPr="00292B72">
        <w:rPr>
          <w:sz w:val="28"/>
          <w:szCs w:val="28"/>
        </w:rPr>
        <w:t xml:space="preserve"> hiện chưa có quy định cho phép tài sản và nợ phải trả được đánh giá lại theo giá trị hợp lý tại thời điểm báo cáo. Việc chưa có chuẩn mực liên quan làm suy giảm tính trung thực và hợp lý của BCTC và chưa phù hợp với IAS/IFRS.</w:t>
      </w:r>
    </w:p>
    <w:p w:rsidR="002126EF" w:rsidRPr="00FB7DA8" w:rsidRDefault="002126EF" w:rsidP="00FB7DA8">
      <w:pPr>
        <w:spacing w:line="264" w:lineRule="auto"/>
        <w:ind w:firstLine="720"/>
        <w:jc w:val="both"/>
        <w:rPr>
          <w:sz w:val="28"/>
          <w:szCs w:val="28"/>
        </w:rPr>
      </w:pPr>
      <w:r w:rsidRPr="00FB7DA8">
        <w:rPr>
          <w:sz w:val="28"/>
          <w:szCs w:val="28"/>
        </w:rPr>
        <w:t xml:space="preserve">- </w:t>
      </w:r>
      <w:r w:rsidRPr="00FB7DA8">
        <w:rPr>
          <w:b/>
          <w:bCs/>
          <w:sz w:val="28"/>
          <w:szCs w:val="28"/>
        </w:rPr>
        <w:t>VAS 21 và IAS 1</w:t>
      </w:r>
      <w:r w:rsidRPr="00292B72">
        <w:rPr>
          <w:sz w:val="28"/>
          <w:szCs w:val="28"/>
        </w:rPr>
        <w:t>: VAS quy định báo cáo tài chính không bắt buộc phải có báo cáo thay đổi vốn chủ sở hữu như chuẩn mực IAS 1. Như vậy theo IAS chúng ta có 5 cấu phần (Statement of Financial Position, Statement of Comprehensive Income, Statement of Cashflow, Statement of Changes in Equity, và Notes to Financial Statement) trong khi VAS có 4 cấu phần, riêng báo cáo thay đổi vốn chủ sở hữu sẽ được coi như 1 phần của thuyết minh báo cáo tài chính.</w:t>
      </w:r>
    </w:p>
    <w:p w:rsidR="002126EF" w:rsidRPr="00FB7DA8" w:rsidRDefault="002126EF" w:rsidP="00FB7DA8">
      <w:pPr>
        <w:spacing w:line="264" w:lineRule="auto"/>
        <w:ind w:firstLine="720"/>
        <w:jc w:val="both"/>
        <w:rPr>
          <w:sz w:val="28"/>
          <w:szCs w:val="28"/>
        </w:rPr>
      </w:pPr>
      <w:r w:rsidRPr="00FB7DA8">
        <w:rPr>
          <w:sz w:val="28"/>
          <w:szCs w:val="28"/>
        </w:rPr>
        <w:t xml:space="preserve">- </w:t>
      </w:r>
      <w:r w:rsidRPr="00FB7DA8">
        <w:rPr>
          <w:b/>
          <w:bCs/>
          <w:sz w:val="28"/>
          <w:szCs w:val="28"/>
        </w:rPr>
        <w:t>VAS 3</w:t>
      </w:r>
      <w:r w:rsidRPr="00292B72">
        <w:rPr>
          <w:sz w:val="28"/>
          <w:szCs w:val="28"/>
        </w:rPr>
        <w:t xml:space="preserve"> chỉ cho phép đánh giá lại tài sản cố định là bất động sản, nhà xưởng và thiết bị trong trường hợp có quyết định của Nhà nước, đưa tài sản đi góp vốn liên doanh, liên kết, chia tách, sáp nhập doanh nghiệp và không được ghi nhận phần tổn thất tài sản hàng năm. Trong khi đó, theo IAS 16, doanh nghiệp được phép đánh giá lại tài sản theo giá thị trường và được xác định phần tổn thất tài sản hàng năm, đồng thời được ghi nhận phần tổn thất này theo quy định tại IAS 36.</w:t>
      </w:r>
    </w:p>
    <w:p w:rsidR="002126EF" w:rsidRPr="00FB7DA8" w:rsidRDefault="002126EF" w:rsidP="00FB7DA8">
      <w:pPr>
        <w:spacing w:line="264" w:lineRule="auto"/>
        <w:ind w:firstLine="720"/>
        <w:jc w:val="both"/>
        <w:rPr>
          <w:sz w:val="28"/>
          <w:szCs w:val="28"/>
        </w:rPr>
      </w:pPr>
      <w:r w:rsidRPr="00FB7DA8">
        <w:rPr>
          <w:sz w:val="28"/>
          <w:szCs w:val="28"/>
        </w:rPr>
        <w:t xml:space="preserve">- </w:t>
      </w:r>
      <w:r w:rsidRPr="00FB7DA8">
        <w:rPr>
          <w:b/>
          <w:bCs/>
          <w:sz w:val="28"/>
          <w:szCs w:val="28"/>
        </w:rPr>
        <w:t>VAS 11</w:t>
      </w:r>
      <w:r w:rsidRPr="00292B72">
        <w:rPr>
          <w:sz w:val="28"/>
          <w:szCs w:val="28"/>
        </w:rPr>
        <w:t xml:space="preserve"> quy định lợi thế thương mại được phân bổ dần trong thời gian không quá 10 năm kể từ ngày mua trong giao dịch hợp nhất kinh doanh. Trong khi đó, IFRS 3 quy định doanh nghiệp phải đánh giá giá trị lợi thế thương mại tổn thất.</w:t>
      </w:r>
    </w:p>
    <w:p w:rsidR="002126EF" w:rsidRPr="00FB7DA8" w:rsidRDefault="002126EF" w:rsidP="00FB7DA8">
      <w:pPr>
        <w:spacing w:line="264" w:lineRule="auto"/>
        <w:ind w:firstLine="720"/>
        <w:jc w:val="both"/>
        <w:rPr>
          <w:color w:val="000000"/>
          <w:sz w:val="28"/>
          <w:szCs w:val="28"/>
        </w:rPr>
      </w:pPr>
      <w:r w:rsidRPr="00FB7DA8">
        <w:rPr>
          <w:b/>
          <w:bCs/>
          <w:color w:val="000000"/>
          <w:sz w:val="28"/>
          <w:szCs w:val="28"/>
        </w:rPr>
        <w:t>* Hệ thống kế toán và chuẩn mực quốc tế về kế toán (IASs/IFRSs) được soạn thảo bởi Hội đồng chuẩn mực kế toán quốc tế (IASB).</w:t>
      </w:r>
      <w:r w:rsidRPr="00FB7DA8">
        <w:rPr>
          <w:color w:val="000000"/>
          <w:sz w:val="28"/>
          <w:szCs w:val="28"/>
        </w:rPr>
        <w:t xml:space="preserve"> </w:t>
      </w:r>
    </w:p>
    <w:p w:rsidR="002126EF" w:rsidRPr="00FB7DA8" w:rsidRDefault="002126EF" w:rsidP="00FB7DA8">
      <w:pPr>
        <w:spacing w:line="264" w:lineRule="auto"/>
        <w:ind w:firstLine="720"/>
        <w:jc w:val="both"/>
        <w:rPr>
          <w:color w:val="000000"/>
          <w:sz w:val="28"/>
          <w:szCs w:val="28"/>
        </w:rPr>
      </w:pPr>
      <w:r w:rsidRPr="00FB7DA8">
        <w:rPr>
          <w:color w:val="000000"/>
          <w:sz w:val="28"/>
          <w:szCs w:val="28"/>
        </w:rPr>
        <w:t>Nó được soạn thảo và công bố theo những quy trình rất chặt chẽ để đảm bảo chất lượng của các chuẩn mực và đảm bảo tính thực hành cao. IASs/IFRSs được sử dụng rộng rãi ở khắp thế giới như châu Âu, Singapore, Hồng Kông, Úc và nhiều quốc gia trên thế giới. Rất nhiều quốc gia khác của châu Á và trên thế giới đang điều chỉnh các chuẩn mực của mình để phù hợp hơn với IFRS và giảm thiểu sự khác nhau nếu có.</w:t>
      </w:r>
    </w:p>
    <w:p w:rsidR="002126EF" w:rsidRPr="00FB7DA8" w:rsidRDefault="002126EF" w:rsidP="00FB7DA8">
      <w:pPr>
        <w:spacing w:line="264" w:lineRule="auto"/>
        <w:ind w:firstLine="720"/>
        <w:jc w:val="both"/>
        <w:rPr>
          <w:b/>
          <w:bCs/>
          <w:color w:val="000000"/>
          <w:sz w:val="28"/>
          <w:szCs w:val="28"/>
        </w:rPr>
      </w:pPr>
      <w:r w:rsidRPr="00FB7DA8">
        <w:rPr>
          <w:color w:val="000000"/>
          <w:sz w:val="28"/>
          <w:szCs w:val="28"/>
        </w:rPr>
        <w:t>Khác với hệ thống kế toán Việt Nam (VAS), hệ thống kế toán quốc tế (IAS) không có sự bắt buộc mang tính hình thức (như biểu mẫu báo cáo thống nhất, hệ thống tài khoản kế toán thống nhất, hình thức sổ kế toán, mẫu các chứng từ gốc thống nhất). IAS mặc dù đưa ra rất chi tiết các định nghĩa, phương pháp làm, cách trình bày và những thông tin bắt buộc phải trình bày trong các báo cáo tài chính nhưng IAS không bắt buộc phải sử dụng chung các biểu mẫu báo cáo tài chính, hệ thống tài khoản, các hệ thống chứng từ, sổ kế toán. IAS có bộ khung khái niệm và tính thống nhất cao giữa các chuẩn mực. VAS còn nhiều vấn đề chưa rõ ràng, thiếu nhiều vấn đề và đặc biệt là còn mâu thuẫn giữa các chuẩn mực hoặc sự không thống nhất giữa chuẩn mực và hướng dẫn về chuẩn mực đó.</w:t>
      </w:r>
    </w:p>
    <w:p w:rsidR="002126EF" w:rsidRPr="00FB7DA8" w:rsidRDefault="002126EF" w:rsidP="00FB7DA8">
      <w:pPr>
        <w:pStyle w:val="NormalWeb"/>
        <w:shd w:val="clear" w:color="auto" w:fill="FFFFFF"/>
        <w:spacing w:before="0" w:beforeAutospacing="0" w:after="0" w:afterAutospacing="0" w:line="264" w:lineRule="auto"/>
        <w:jc w:val="both"/>
        <w:rPr>
          <w:color w:val="000000"/>
          <w:sz w:val="28"/>
          <w:szCs w:val="28"/>
        </w:rPr>
      </w:pPr>
      <w:r w:rsidRPr="00FB7DA8">
        <w:rPr>
          <w:color w:val="000000"/>
          <w:sz w:val="28"/>
          <w:szCs w:val="28"/>
        </w:rPr>
        <w:t>Hầu hết những người đã được học và/hoặc làm theo các hệ thống kế toán quốc tế hay mang tính thông lệ quốc tế đều cho rằng, hệ thống tài khoản kế toán thống nhất của Việt Nam chỉ nên mang tính hướng dẫn mà không nên mang tính bắt buộc. Thông lệ kế toán quốc tế cho phép ghi nhiều Nợ đối ứng với nhiều Có trong cùng một định khoản, tuy nhiên không nên lạm dụng việc ghi nhiều Nợ đối ứng với nhiều Có để mất đi tính rõ ràng của kế toán. Mặc dù không có văn bản pháp quy nào quy định cấm ghi nhiều Nợ đối ứng với nhiều Có trong cùng một định khoản kế toán, nhưng theo một thói quen từ xưa, rất nhiều DN Việt Nam vẫn tuân theo nguyên tắc này. Tuy nhiên, nhiều DN nước ngoài tại Việt Nam lại không áp dụng.</w:t>
      </w:r>
    </w:p>
    <w:p w:rsidR="002126EF" w:rsidRPr="00FB7DA8" w:rsidRDefault="002126EF" w:rsidP="00FB7DA8">
      <w:pPr>
        <w:pStyle w:val="NormalWeb"/>
        <w:shd w:val="clear" w:color="auto" w:fill="FFFFFF"/>
        <w:spacing w:before="0" w:beforeAutospacing="0" w:after="0" w:afterAutospacing="0" w:line="264" w:lineRule="auto"/>
        <w:ind w:firstLine="720"/>
        <w:jc w:val="both"/>
        <w:rPr>
          <w:color w:val="000000"/>
          <w:sz w:val="28"/>
          <w:szCs w:val="28"/>
        </w:rPr>
      </w:pPr>
      <w:r w:rsidRPr="00FB7DA8">
        <w:rPr>
          <w:color w:val="000000"/>
          <w:sz w:val="28"/>
          <w:szCs w:val="28"/>
        </w:rPr>
        <w:t>Hệ thống tài khoản kế toán thống nhất của Việt Nam chỉ quan tâm chủ yếu đến thông tin của báo cáo tài chính cho các nhà đầu tư chứ chưa quan tâm đến thông tin quản trị nội bộ. Theo thông lệ quốc tế, tên gọi tài khoản chính là tên gọi ngắn gọn của số dư tài khoản hay chỉ tiêu cần quản lý. Không ghép chung nhiều chỉ tiêu khác nhau vào chung một tài khoản. Các chỉ tiêu khác nhau phải được ghi chép và báo cáo theo các tài khoản riêng biệt.</w:t>
      </w:r>
    </w:p>
    <w:p w:rsidR="002126EF" w:rsidRPr="00FB7DA8" w:rsidRDefault="002126EF" w:rsidP="00FB7DA8">
      <w:pPr>
        <w:pStyle w:val="NormalWeb"/>
        <w:shd w:val="clear" w:color="auto" w:fill="FFFFFF"/>
        <w:spacing w:before="0" w:beforeAutospacing="0" w:after="0" w:afterAutospacing="0" w:line="264" w:lineRule="auto"/>
        <w:ind w:firstLine="720"/>
        <w:jc w:val="both"/>
        <w:rPr>
          <w:color w:val="000000"/>
          <w:sz w:val="28"/>
          <w:szCs w:val="28"/>
        </w:rPr>
      </w:pPr>
      <w:r w:rsidRPr="00FB7DA8">
        <w:rPr>
          <w:color w:val="000000"/>
          <w:sz w:val="28"/>
          <w:szCs w:val="28"/>
        </w:rPr>
        <w:t xml:space="preserve">* </w:t>
      </w:r>
      <w:r w:rsidRPr="00FB7DA8">
        <w:rPr>
          <w:rStyle w:val="Strong"/>
          <w:color w:val="000000"/>
          <w:sz w:val="28"/>
          <w:szCs w:val="28"/>
        </w:rPr>
        <w:t>So sánh bảng cân đối kế toán</w:t>
      </w:r>
    </w:p>
    <w:p w:rsidR="002126EF" w:rsidRPr="00FB7DA8" w:rsidRDefault="002126EF" w:rsidP="00FB7DA8">
      <w:pPr>
        <w:pStyle w:val="NormalWeb"/>
        <w:shd w:val="clear" w:color="auto" w:fill="FFFFFF"/>
        <w:spacing w:before="0" w:beforeAutospacing="0" w:after="0" w:afterAutospacing="0" w:line="264" w:lineRule="auto"/>
        <w:ind w:firstLine="720"/>
        <w:jc w:val="both"/>
        <w:rPr>
          <w:color w:val="000000"/>
          <w:sz w:val="28"/>
          <w:szCs w:val="28"/>
        </w:rPr>
      </w:pPr>
      <w:r w:rsidRPr="00FB7DA8">
        <w:rPr>
          <w:color w:val="000000"/>
          <w:sz w:val="28"/>
          <w:szCs w:val="28"/>
        </w:rPr>
        <w:t>IAS khác VAS trong hầu hết khoản mục của bảng cân đối kế toán như kế toán tiền, DN ghi độc lập với ngân hàng. Các khoản phải thu thương mại tách biệt với các khoản phải thu từ bán tài sản cố định (TSCĐ). Giá thành phẩm được tính theo phương pháp giá thành thông thường hơn là thực tế và nó không chấp nhận phương pháp LIFO. Các tài sản sinh vật và sản phẩm nông nghiệp thu hoạch từ các tài sản sinh vật được ghi nhận theo giá trị hợp lý trừ đi chi phí điểm bán hàng ước tính. Các khoản chứng khoán thương mại ngắn hạn được ghi nhận theo giá trị hợp lý (giá thị trường) cuối mỗi kỳ, chênh lệch được ghi vào lãi lỗ chưa thực hiện trên báo cáo kết quả. Các khoản chứng khoán sẵn sàng để bán cũng được điều chỉnh theo giá trị hợp lý cuối kỳ, nhưng nó được ghi tăng giảm vốn chủ sở hữu trên bảng cân đối kế toán không ghi vào báo cáo lãi lỗ. Việc nhận cổ tức bằng cổ phiếu không ghi tăng thu nhập mà chỉ thuần túy ghi bút toán ghi nhớ làm tăng số lượng cổ phiếu lên, đồng thời giảm đơn giá vốn nhưng tổng giá vốn không đổi.</w:t>
      </w:r>
    </w:p>
    <w:p w:rsidR="002126EF" w:rsidRPr="00FB7DA8" w:rsidRDefault="002126EF" w:rsidP="00FB7DA8">
      <w:pPr>
        <w:pStyle w:val="NormalWeb"/>
        <w:shd w:val="clear" w:color="auto" w:fill="FFFFFF"/>
        <w:spacing w:before="0" w:beforeAutospacing="0" w:after="0" w:afterAutospacing="0" w:line="264" w:lineRule="auto"/>
        <w:ind w:firstLine="720"/>
        <w:jc w:val="both"/>
        <w:rPr>
          <w:color w:val="000000"/>
          <w:sz w:val="28"/>
          <w:szCs w:val="28"/>
        </w:rPr>
      </w:pPr>
      <w:r w:rsidRPr="00FB7DA8">
        <w:rPr>
          <w:color w:val="000000"/>
          <w:sz w:val="28"/>
          <w:szCs w:val="28"/>
        </w:rPr>
        <w:t>Các khoản đầu tư bằng trái phiếu được ghi nhận theo giá vốn đã trừ (cộng) khấu hao chiết khấu (phụ trội). Đầu tư vào công ty liên doanh được hợp nhất theo phương pháp hợp nhất tương ứng, giải pháp thay thế là theo phương pháp vốn chủ sở hữu. VAS chỉ đưa ra phương pháp vốn chủ sở hữu. Phương pháp hợp nhất tương ứng khác với hợp nhất thông thường ở chỗ chỉ phần tài sản, nợ phải trả, thu nhập và chi phí thuộc sở hữu tập đoàn là được đưa vào trong tài khoản báo cáo. Nó không có lợi ích thiểu số (minority interests). Việc hợp nhất các báo cáo tài chính bắt buộc thực hiện cho cả báo cáo năm và báo cáo giữa niên độ.</w:t>
      </w:r>
    </w:p>
    <w:p w:rsidR="002126EF" w:rsidRPr="00FB7DA8" w:rsidRDefault="002126EF" w:rsidP="00FB7DA8">
      <w:pPr>
        <w:pStyle w:val="NormalWeb"/>
        <w:shd w:val="clear" w:color="auto" w:fill="FFFFFF"/>
        <w:spacing w:before="0" w:beforeAutospacing="0" w:after="0" w:afterAutospacing="0" w:line="264" w:lineRule="auto"/>
        <w:jc w:val="both"/>
        <w:rPr>
          <w:color w:val="000000"/>
          <w:sz w:val="28"/>
          <w:szCs w:val="28"/>
        </w:rPr>
      </w:pPr>
      <w:r w:rsidRPr="00FB7DA8">
        <w:rPr>
          <w:color w:val="000000"/>
          <w:sz w:val="28"/>
          <w:szCs w:val="28"/>
        </w:rPr>
        <w:t>TSCĐ có thể lựa chọn mô hình giá phí hoặc áp dụng mô hình giá trị hợp lý nếu nó có thể đo lường một cách đáng tin cậy. Chênh lệch giá trị hợp lý giữa các kỳ được ghi vào vốn chủ sở hữu. Riêng đối với bất động sản đầu tư, chênh lệch này được phép ghi vào lãi lỗ trên báo cáo kết quả. Tuy nhiên, khi dùng mô hình giá trị hợp lý, trong phần thuyết minh, DN vẫn phải thuyết minh giá gốc của nó để nhà đầu tư có thể tự đánh giá và so sánh. TSCĐ được cho tặng ghi vào thu nhập phần phù hợp với chi phí để nhận được tiền cho tặng đó (phần khấu hao của kỳ đó chẳng hạn). Khi tài sản cố định hữu hình hoặc vô hình và tài chính bị giảm giá trị, IAS yêu cầu ghi nhận ngay vào chi phí. Theo IAS, đất đai thuộc tài sản hữu hình. Các khoản phải trả thương mại được tách biệt với các khoản phải trả do mua sắm TSCĐ hay mua tài sản tài chính. Khoản phải trả bao gồm cả các khoản thưởng và chi phí phúc lợi cho nhân viên. Vốn chủ sở hữu không bao gồm các quỹ khen thưởng, phúc lợi (Theo VAS trước ngày 31.12.2009 quỹ khen thưởng phúc lợi nằm trong mục lớn Vốn chủ sở hữu, tuy nhiên theo thông tư 244/2009/TT-BTC ngày 31.12.2009 quy định vấn đề này giống như IAS). Các khoản đánh giá lại tài sản được ghi tăng giảm vốn chủ sở hữu.</w:t>
      </w:r>
    </w:p>
    <w:p w:rsidR="002126EF" w:rsidRPr="00FB7DA8" w:rsidRDefault="002126EF" w:rsidP="00FB7DA8">
      <w:pPr>
        <w:pStyle w:val="NormalWeb"/>
        <w:shd w:val="clear" w:color="auto" w:fill="FFFFFF"/>
        <w:spacing w:before="0" w:beforeAutospacing="0" w:after="0" w:afterAutospacing="0" w:line="264" w:lineRule="auto"/>
        <w:ind w:firstLine="720"/>
        <w:jc w:val="both"/>
        <w:rPr>
          <w:color w:val="000000"/>
          <w:sz w:val="28"/>
          <w:szCs w:val="28"/>
        </w:rPr>
      </w:pPr>
      <w:r w:rsidRPr="00FB7DA8">
        <w:rPr>
          <w:color w:val="000000"/>
          <w:sz w:val="28"/>
          <w:szCs w:val="28"/>
        </w:rPr>
        <w:t xml:space="preserve">* </w:t>
      </w:r>
      <w:r w:rsidRPr="00FB7DA8">
        <w:rPr>
          <w:rStyle w:val="Strong"/>
          <w:color w:val="000000"/>
          <w:sz w:val="28"/>
          <w:szCs w:val="28"/>
        </w:rPr>
        <w:t>So sánh báo cáo kết quả kinh doanh</w:t>
      </w:r>
    </w:p>
    <w:p w:rsidR="002126EF" w:rsidRPr="00FB7DA8" w:rsidRDefault="002126EF" w:rsidP="00FB7DA8">
      <w:pPr>
        <w:pStyle w:val="NormalWeb"/>
        <w:shd w:val="clear" w:color="auto" w:fill="FFFFFF"/>
        <w:spacing w:before="0" w:beforeAutospacing="0" w:after="0" w:afterAutospacing="0" w:line="264" w:lineRule="auto"/>
        <w:ind w:firstLine="720"/>
        <w:jc w:val="both"/>
        <w:rPr>
          <w:color w:val="000000"/>
          <w:sz w:val="28"/>
          <w:szCs w:val="28"/>
        </w:rPr>
      </w:pPr>
      <w:r w:rsidRPr="00FB7DA8">
        <w:rPr>
          <w:color w:val="000000"/>
          <w:sz w:val="28"/>
          <w:szCs w:val="28"/>
        </w:rPr>
        <w:t>Để việc so sánh và quản trị được tốt hơn, theo IFRSs, lãi hoạt động kinh doanh là các khoản lãi lỗ từ các hoạt động kinh doanh thông thường của DN, nó không bao gồm các khoản thu nhập và chi phí tài chính. Chi phí tài chính theo thông lệ quốc tế chỉ đơn giản là chi phí lãi vay và các chi phí trực tiếp liên quan đến vay tiền bao gồm cả việc lãi lỗ do thay đổi tỷ giá ngoại tệ phát sinh từ việc vay tiền như một khoản chi phí lãi vay. Các chi phí khác và thu nhập khác theo IAS bao gồm như bất động sản đầu tư theo mô hình giá trị hợp lý, các khoản chênh lệch giá trị hợp lý cuối kỳ so với đầu kỳ được ghi nhận là lãi lỗ trong báo cáo tài chính kỳ đó. Theo VAS, chỉ áp dụng phương pháp giá gốc trừ đi khấu hao lũy kế. Do vậy, không có khoản lãi, lỗ này phát sinh. Trường hợp tài sản cố định được chính phủ cho tặng, theo IAS, DN chỉ được ghi nhận như một khoản thu nhập trong các kỳ liên quan để phù hợp với các chi phí liên quan (khấu hao) mà chúng được nhận để bù đắp. Theo VAS, nó được ghi nhận toàn bộ thu nhập vào kỳ nhận được tài sản.</w:t>
      </w:r>
    </w:p>
    <w:p w:rsidR="002126EF" w:rsidRPr="00FB7DA8" w:rsidRDefault="002126EF" w:rsidP="00FB7DA8">
      <w:pPr>
        <w:pStyle w:val="NormalWeb"/>
        <w:shd w:val="clear" w:color="auto" w:fill="FFFFFF"/>
        <w:spacing w:before="0" w:beforeAutospacing="0" w:after="0" w:afterAutospacing="0" w:line="264" w:lineRule="auto"/>
        <w:ind w:firstLine="720"/>
        <w:jc w:val="both"/>
        <w:rPr>
          <w:color w:val="000000"/>
          <w:sz w:val="28"/>
          <w:szCs w:val="28"/>
        </w:rPr>
      </w:pPr>
      <w:r w:rsidRPr="00FB7DA8">
        <w:rPr>
          <w:color w:val="000000"/>
          <w:sz w:val="28"/>
          <w:szCs w:val="28"/>
        </w:rPr>
        <w:t>Theo IAS, lãi dùng để tính EPS cơ bản là lãi thuần thuộc các cổ đông. Nó không bao gồm các khoản lãi, nhưng được dùng để chia cho nhân viên hay đối tượng khác như quỹ khen thưởng, phúc lợi. VAS không trừ các quỹ này nên rất nhiều tình huống EPS tính theo VAS cao hơn theo IAS khá nhiều thông thường từ 5 - 15%, cá biệt có thể lên đến 30%. Theo IAS, EPS pha loãng và EPS cơ bản phải được trình bày trên bề mặt và nổi bật như nhau trên báo cáo kết quả kinh doanh. Tuy nhiên, hiện nay VAS chưa có thông tư hướng dẫn chi tiết, nên các DN vẫn không báo cáo EPS pha loãng trên báo cáo kết quả kinh doanh. Trường hợp chia cổ tức bằng cổ phiếu, khác với IAS, VAS chưa quy định việc điều chỉnh hồi tố EPS. Trong trường hợp đó, việc phân tích xu hướng EPS qua các năm theo số liệu EPS gốc (không điều chỉnh) sẽ bị sai lệnh rất nghiêm trọng.</w:t>
      </w:r>
      <w:r w:rsidRPr="00FB7DA8">
        <w:rPr>
          <w:rStyle w:val="apple-converted-space"/>
          <w:color w:val="000000"/>
          <w:sz w:val="28"/>
          <w:szCs w:val="28"/>
        </w:rPr>
        <w:t> </w:t>
      </w:r>
    </w:p>
    <w:p w:rsidR="002126EF" w:rsidRPr="00FB7DA8" w:rsidRDefault="002126EF" w:rsidP="00FB7DA8">
      <w:pPr>
        <w:pStyle w:val="NormalWeb"/>
        <w:shd w:val="clear" w:color="auto" w:fill="FFFFFF"/>
        <w:spacing w:before="0" w:beforeAutospacing="0" w:after="0" w:afterAutospacing="0" w:line="264" w:lineRule="auto"/>
        <w:ind w:firstLine="720"/>
        <w:jc w:val="both"/>
        <w:rPr>
          <w:color w:val="000000"/>
          <w:sz w:val="28"/>
          <w:szCs w:val="28"/>
        </w:rPr>
      </w:pPr>
      <w:r w:rsidRPr="00FB7DA8">
        <w:rPr>
          <w:color w:val="000000"/>
          <w:sz w:val="28"/>
          <w:szCs w:val="28"/>
        </w:rPr>
        <w:t>Theo IAS 27, các báo cáo tài chính hợp nhất phải được lập cho các báo cáo tài chính năm và các báo cáo tài chính tạm thời giữa niên độ. Tuy nhiên, theo VAS, việc lập báo cáo tài chính hợp nhất chỉ bắt buộc đối với báo cáo năm, các báo cáo giữa niên độ chỉ mang tính khuyến khích. Điều này có nghĩa là báo cáo tài chính giữa niên độ có thể không đầy đủ và thiếu chính xác. Đây là một lỗ hổng lớn mà các nhà tạo lập chế độ kế toán phải nhanh chóng chỉnh sửa, tránh những hậu quả lớn cho các nhà đầu tư mà hiện nay họ đang phải gánh chịu. Báo cáo hợp nhất với các công ty liên doanh, theo IAS, các doanh nghiệp nên sử dụng phương pháp hợp nhất tương ứng tuy nhiên có thể sử dụng phương pháp vốn chủ sở hữu. VAS chỉ quy định phương pháp vốn chủ sở hữu.</w:t>
      </w:r>
      <w:r w:rsidRPr="00FB7DA8">
        <w:rPr>
          <w:rStyle w:val="apple-converted-space"/>
          <w:color w:val="000000"/>
          <w:sz w:val="28"/>
          <w:szCs w:val="28"/>
        </w:rPr>
        <w:t> </w:t>
      </w:r>
    </w:p>
    <w:p w:rsidR="002126EF" w:rsidRPr="00FB7DA8" w:rsidRDefault="002126EF" w:rsidP="00FB7DA8">
      <w:pPr>
        <w:pStyle w:val="NormalWeb"/>
        <w:shd w:val="clear" w:color="auto" w:fill="FFFFFF"/>
        <w:spacing w:before="0" w:beforeAutospacing="0" w:after="0" w:afterAutospacing="0" w:line="264" w:lineRule="auto"/>
        <w:ind w:firstLine="720"/>
        <w:jc w:val="both"/>
        <w:rPr>
          <w:color w:val="000000"/>
          <w:sz w:val="28"/>
          <w:szCs w:val="28"/>
        </w:rPr>
      </w:pPr>
      <w:r w:rsidRPr="00FB7DA8">
        <w:rPr>
          <w:color w:val="000000"/>
          <w:sz w:val="28"/>
          <w:szCs w:val="28"/>
        </w:rPr>
        <w:t xml:space="preserve">* </w:t>
      </w:r>
      <w:r w:rsidRPr="00FB7DA8">
        <w:rPr>
          <w:rStyle w:val="Strong"/>
          <w:color w:val="000000"/>
          <w:sz w:val="28"/>
          <w:szCs w:val="28"/>
        </w:rPr>
        <w:t>So sánh báo cáo lưu chuyển tiền tệ</w:t>
      </w:r>
    </w:p>
    <w:p w:rsidR="002126EF" w:rsidRPr="00FB7DA8" w:rsidRDefault="002126EF" w:rsidP="00FB7DA8">
      <w:pPr>
        <w:pStyle w:val="NormalWeb"/>
        <w:shd w:val="clear" w:color="auto" w:fill="FFFFFF"/>
        <w:spacing w:before="0" w:beforeAutospacing="0" w:after="0" w:afterAutospacing="0" w:line="264" w:lineRule="auto"/>
        <w:ind w:firstLine="720"/>
        <w:jc w:val="both"/>
        <w:rPr>
          <w:color w:val="000000"/>
          <w:sz w:val="28"/>
          <w:szCs w:val="28"/>
        </w:rPr>
      </w:pPr>
      <w:r w:rsidRPr="00FB7DA8">
        <w:rPr>
          <w:color w:val="000000"/>
          <w:sz w:val="28"/>
          <w:szCs w:val="28"/>
        </w:rPr>
        <w:t>VAS và thông tư hướng dẫn cách lập báo cáo lưu chuyển tiền tệ là lấy từ sổ quỹ tiền mặt và sổ cái tiền gửi ngân hàng tương ứng với các tài khoản đối ứng. Theo thông lệ quốc tế, việc lập báo cáo lưu chuyển tiền tệ (LCTT) chỉ căn cứ thuần túy các số liệu trên bảng cân đối kế toán số đầu kỳ và cuối kỳ, báo cáo kết quả (và có thể có thêm một vài thông tin từ sổ cái) sau đó làm các động tác điều chỉnh là ra các chỉ tiêu trên báo cáo LCTT.</w:t>
      </w:r>
    </w:p>
    <w:p w:rsidR="002126EF" w:rsidRPr="00FB7DA8" w:rsidRDefault="002126EF" w:rsidP="00FB7DA8">
      <w:pPr>
        <w:pStyle w:val="NormalWeb"/>
        <w:shd w:val="clear" w:color="auto" w:fill="FFFFFF"/>
        <w:spacing w:before="0" w:beforeAutospacing="0" w:after="0" w:afterAutospacing="0" w:line="264" w:lineRule="auto"/>
        <w:ind w:firstLine="720"/>
        <w:jc w:val="both"/>
        <w:rPr>
          <w:color w:val="000000"/>
          <w:sz w:val="28"/>
          <w:szCs w:val="28"/>
        </w:rPr>
      </w:pPr>
      <w:r w:rsidRPr="00FB7DA8">
        <w:rPr>
          <w:color w:val="000000"/>
          <w:sz w:val="28"/>
          <w:szCs w:val="28"/>
        </w:rPr>
        <w:t>VAS hướng dẫn cách lập báo cáo LCTT theo phương pháp gián tiếp bắt đầu từ lãi trước thuế cộng trừ các khoản điều chỉnh trong đó có chênh lệch các khoản phải trả. Mặc dù trong quy định về báo cáo đã yêu cầu các khoản phải trả này không bao gồm các khoản phải trả liên quan đến hoạt động đầu tư và tài chính. Tuy nhiên, do Tài khoản 331 Phải trả cho người bán bao gồm các khoản phải trả thương mại do mua hàng hóa, nguyên liệu cho sản xuất và phải trả cho việc mua sắm tài sản cố định hay mua khác. Khi lập báo cáo LCTT, kế toán viên chỉ lấy số dư cuối kỳ trừ số dư đầu kỳ của Tài khoản 331 này. Do vậy nó làm cho dòng tiền từ hoạt động kinh doanh lẫn lộn với dòng tiền từ hoạt động đầu tư.</w:t>
      </w:r>
    </w:p>
    <w:p w:rsidR="002126EF" w:rsidRPr="00FB7DA8" w:rsidRDefault="002126EF" w:rsidP="00FB7DA8">
      <w:pPr>
        <w:pStyle w:val="NormalWeb"/>
        <w:shd w:val="clear" w:color="auto" w:fill="FFFFFF"/>
        <w:spacing w:before="0" w:beforeAutospacing="0" w:after="0" w:afterAutospacing="0" w:line="264" w:lineRule="auto"/>
        <w:ind w:firstLine="720"/>
        <w:jc w:val="both"/>
        <w:rPr>
          <w:color w:val="000000"/>
          <w:sz w:val="28"/>
          <w:szCs w:val="28"/>
        </w:rPr>
      </w:pPr>
      <w:r w:rsidRPr="00FB7DA8">
        <w:rPr>
          <w:color w:val="000000"/>
          <w:sz w:val="28"/>
          <w:szCs w:val="28"/>
        </w:rPr>
        <w:t xml:space="preserve">2. Sự cần thiết áp dụng </w:t>
      </w:r>
      <w:r w:rsidRPr="00FB7DA8">
        <w:rPr>
          <w:rStyle w:val="Strong"/>
          <w:sz w:val="28"/>
          <w:szCs w:val="28"/>
        </w:rPr>
        <w:t>IFRS </w:t>
      </w:r>
      <w:r w:rsidRPr="00FB7DA8">
        <w:rPr>
          <w:color w:val="000000"/>
          <w:sz w:val="28"/>
          <w:szCs w:val="28"/>
        </w:rPr>
        <w:t xml:space="preserve"> </w:t>
      </w:r>
    </w:p>
    <w:p w:rsidR="002126EF" w:rsidRPr="00FB7DA8" w:rsidRDefault="002126EF" w:rsidP="00FB7DA8">
      <w:pPr>
        <w:pStyle w:val="NormalWeb"/>
        <w:shd w:val="clear" w:color="auto" w:fill="FFFFFF"/>
        <w:spacing w:before="0" w:beforeAutospacing="0" w:after="0" w:afterAutospacing="0" w:line="264" w:lineRule="auto"/>
        <w:ind w:firstLine="720"/>
        <w:jc w:val="both"/>
        <w:rPr>
          <w:color w:val="000000"/>
          <w:sz w:val="28"/>
          <w:szCs w:val="28"/>
        </w:rPr>
      </w:pPr>
      <w:r w:rsidRPr="00FB7DA8">
        <w:rPr>
          <w:sz w:val="28"/>
          <w:szCs w:val="28"/>
        </w:rPr>
        <w:t>Tại Việt Nam, các DN đang áp dụng theo 26 VAS do Bộ Tài chính ban hành trong việc lập BCTC. VAS được xây dựng dựa trên các IAS/IFRS, theo nguyên tắc vận dụng có chọn lọc thông lệ quốc tế, phù hợp với đặc điểm của nền kinh tế và trình độ quản lý của các DN Việt Nam tại thời điểm ban hành chuẩn mực. Trong giai đoạn trước đây, không thể phủ nhận tác dụng tích cực của VAS. Tuy nhiên, với sự thay đổi về thể chế kinh tế trong nước cũng như thay đổi trong hệ thống IFRS trong giai đoạn hiện nay, VAS đã bộc lộ nhiều tồn tại, đặc biệt là các giao dịch của nền kinh tế thị trường mới phát sinh chưa được VAS giải quyết thấu đáo, như việc ghi nhận và đánh giá tài sản, nợ phải trả theo giá trị hợp lý, ghi nhận tổn thất tài sản, kế toán các công cụ tài chính phái sinh cho mục đích kinh doanh và phòng ngừa rủi ro,… chưa được hướng dẫn cụ thể.</w:t>
      </w:r>
    </w:p>
    <w:p w:rsidR="002126EF" w:rsidRPr="00FB7DA8" w:rsidRDefault="002126EF" w:rsidP="00FB7DA8">
      <w:pPr>
        <w:pStyle w:val="NormalWeb"/>
        <w:shd w:val="clear" w:color="auto" w:fill="FFFFFF"/>
        <w:spacing w:before="0" w:beforeAutospacing="0" w:after="0" w:afterAutospacing="0" w:line="264" w:lineRule="auto"/>
        <w:ind w:firstLine="720"/>
        <w:jc w:val="both"/>
        <w:rPr>
          <w:color w:val="000000"/>
          <w:sz w:val="28"/>
          <w:szCs w:val="28"/>
        </w:rPr>
      </w:pPr>
      <w:r w:rsidRPr="00FB7DA8">
        <w:rPr>
          <w:sz w:val="28"/>
          <w:szCs w:val="28"/>
        </w:rPr>
        <w:t>Do vậy, để cải thiện môi trường kinh doanh, phát triển bền vững, hỗ trợ thị trường chứng khoán (TTCK), bảo vệ nhà đầu tư và thu hút đầu tư nước ngoài (ĐTNN), cần thiết phải nâng cao tính minh bạch của thông tin tài chính. Mặt khác, để có thể tiếp cận các dòng vốn trên thị trường quốc tế, niêm yết tại thị trường nước ngoài, yêu cầu lập BCTC theo IFRS đang trở thành nhu cầu ngày càng bức thiết và là xu hướng tất yếu của các tập đoàn, các công ty đại chúng Việt Nam.</w:t>
      </w:r>
    </w:p>
    <w:p w:rsidR="002126EF" w:rsidRPr="00FB7DA8" w:rsidRDefault="002126EF" w:rsidP="00FB7DA8">
      <w:pPr>
        <w:pStyle w:val="NormalWeb"/>
        <w:shd w:val="clear" w:color="auto" w:fill="FFFFFF"/>
        <w:spacing w:before="0" w:beforeAutospacing="0" w:after="0" w:afterAutospacing="0" w:line="264" w:lineRule="auto"/>
        <w:ind w:firstLine="720"/>
        <w:jc w:val="both"/>
        <w:rPr>
          <w:color w:val="000000"/>
          <w:sz w:val="28"/>
          <w:szCs w:val="28"/>
        </w:rPr>
      </w:pPr>
      <w:r w:rsidRPr="00FB7DA8">
        <w:rPr>
          <w:sz w:val="28"/>
          <w:szCs w:val="28"/>
        </w:rPr>
        <w:t>Việc áp dụng IFRS có đóng góp giá trị to lớn đối với tính bền vững của nền kinh tế, cụ thể IFRS tạo sự minh bạch và đồng thời, giúp nâng cao trách nhiệm giải trình bằng cách giảm bớt lỗ hổng thông tin giữa nội bộ và bên ngoài công ty. Thông qua áp dụng IFRS, các DN Việt Nam sẽ có thể được hưởng lợi từ hội nhập kinh tế như tiếp cận nguồn vốn, duy trì năng lực cạnh tranh và phát triển một cách bền vững. Theo khảo sát của IASB đánh giá toàn diện của hơn 100 nghiên cứu chuyên ngành về lợi ích của IFRS cho thấy: Hầu hết các nghiên cứu đều đưa ra các bằng chứng là “IFRS đã giúp tăng cường hiệu quả hoạt động thị trường vốn và thúc đẩy các khoản đầu tư xuyên biên giới”. Ngoài ra, đánh giá của Cộng đồng Châu Âu (EU) sau 10 năm áp dụng IFRS cũng khẳng định “IFRS đã thành công trong việc tạo ra một ngôn ngữ kế toán chung cho thị trường vốn. Chính các nhà đầu tư và các DN đã hỗ trợ IFRS trong việc cải thiện tính minh bạch và tính so sánh của BCTC”.</w:t>
      </w:r>
    </w:p>
    <w:p w:rsidR="002126EF" w:rsidRPr="00FB7DA8" w:rsidRDefault="002126EF" w:rsidP="00FB7DA8">
      <w:pPr>
        <w:pStyle w:val="NormalWeb"/>
        <w:shd w:val="clear" w:color="auto" w:fill="FFFFFF"/>
        <w:spacing w:before="0" w:beforeAutospacing="0" w:after="0" w:afterAutospacing="0" w:line="264" w:lineRule="auto"/>
        <w:ind w:firstLine="720"/>
        <w:jc w:val="both"/>
        <w:rPr>
          <w:color w:val="000000"/>
          <w:sz w:val="28"/>
          <w:szCs w:val="28"/>
        </w:rPr>
      </w:pPr>
      <w:r w:rsidRPr="00FB7DA8">
        <w:rPr>
          <w:sz w:val="28"/>
          <w:szCs w:val="28"/>
        </w:rPr>
        <w:t>Khi DN Việt Nam được phép áp dụng IFRS thì BCTC của DN đó, sẽ được đảm bảo theo tiêu chuẩn quốc tế và được các nhà đầu tư nước ngoài công nhận, điều đó cũng đồng nghĩa với việc tạo điều kiện cho DN có tấm vé thông hành để tiếp cận với dòng vốn trên thị trường quốc tế. Nhưng quan trọng nhất đó là, bản thân BCTC minh bạch và trung thực thì “cơ thể” của DN đó sẽ lành mạnh vì BCTC như là “mạch máu” của DN, khi người quản lý biết rõ được “bệnh” của DN thì họ sẽ có các “bài thuốc” phù hợp cho căn bệnh đó thay vì giấu giếm, rồi đến một lúc nào đó như một ung nhọt vỡ ra và không thể cứu được.</w:t>
      </w:r>
    </w:p>
    <w:p w:rsidR="002126EF" w:rsidRPr="00FB7DA8" w:rsidRDefault="002126EF" w:rsidP="00FB7DA8">
      <w:pPr>
        <w:pStyle w:val="NormalWeb"/>
        <w:shd w:val="clear" w:color="auto" w:fill="FFFFFF"/>
        <w:spacing w:before="0" w:beforeAutospacing="0" w:after="0" w:afterAutospacing="0" w:line="264" w:lineRule="auto"/>
        <w:ind w:firstLine="720"/>
        <w:jc w:val="both"/>
        <w:rPr>
          <w:color w:val="000000"/>
          <w:sz w:val="28"/>
          <w:szCs w:val="28"/>
        </w:rPr>
      </w:pPr>
      <w:r w:rsidRPr="00FB7DA8">
        <w:rPr>
          <w:sz w:val="28"/>
          <w:szCs w:val="28"/>
        </w:rPr>
        <w:t>IFRS giúp các DN Việt Nam và thị trường hoạt động hiệu quả hơn nhờ có một chuẩn mực phạm vi toàn cầu và đáng tin cậy, áp dụng cho cả các nền kinh tế phát triển và mới nổi. IFRS cũng hỗ trợ giảm thiểu chi phí về vốn và chi phí lập, cung cấp báo cáo.</w:t>
      </w:r>
    </w:p>
    <w:p w:rsidR="002126EF" w:rsidRPr="00FB7DA8" w:rsidRDefault="002126EF" w:rsidP="00FB7DA8">
      <w:pPr>
        <w:pStyle w:val="NormalWeb"/>
        <w:shd w:val="clear" w:color="auto" w:fill="FFFFFF"/>
        <w:spacing w:before="0" w:beforeAutospacing="0" w:after="0" w:afterAutospacing="0" w:line="264" w:lineRule="auto"/>
        <w:ind w:firstLine="720"/>
        <w:jc w:val="both"/>
        <w:rPr>
          <w:color w:val="000000"/>
          <w:sz w:val="28"/>
          <w:szCs w:val="28"/>
        </w:rPr>
      </w:pPr>
      <w:r w:rsidRPr="00FB7DA8">
        <w:rPr>
          <w:sz w:val="28"/>
          <w:szCs w:val="28"/>
        </w:rPr>
        <w:t>Ngoài ra, các BCTC có liên quan, có thể so sánh và phản ánh trung thực tình hình tài chính của tổ chức là điều mà các nhà đầu tư đang tìm kiếm trong việc đưa ra quyết định đầu tư của mình. Khi DN thể hiện được tất cả những hạn chế, sự kém hiệu quả của mình thông qua một bản BCTC minh bạch, trung thực thì các nhà đầu tư, chủ nợ sẽ hiểu rõ về sức khỏe của DN, giảm thiểu rủi ro cho các nhà đầu tư, ngân hàng, nhà cung cấp và rộng hơn là giảm thiểu rủi ro đối với xã hội.</w:t>
      </w:r>
    </w:p>
    <w:p w:rsidR="002126EF" w:rsidRPr="00FB7DA8" w:rsidRDefault="002126EF" w:rsidP="00FB7DA8">
      <w:pPr>
        <w:pStyle w:val="NormalWeb"/>
        <w:shd w:val="clear" w:color="auto" w:fill="FFFFFF"/>
        <w:spacing w:before="0" w:beforeAutospacing="0" w:after="0" w:afterAutospacing="0" w:line="264" w:lineRule="auto"/>
        <w:ind w:firstLine="720"/>
        <w:jc w:val="both"/>
        <w:rPr>
          <w:color w:val="000000"/>
          <w:sz w:val="28"/>
          <w:szCs w:val="28"/>
        </w:rPr>
      </w:pPr>
      <w:r w:rsidRPr="00FB7DA8">
        <w:rPr>
          <w:b/>
          <w:bCs/>
          <w:color w:val="000000"/>
          <w:sz w:val="28"/>
          <w:szCs w:val="28"/>
        </w:rPr>
        <w:t>3</w:t>
      </w:r>
      <w:r w:rsidRPr="00FB7DA8">
        <w:rPr>
          <w:color w:val="000000"/>
          <w:sz w:val="28"/>
          <w:szCs w:val="28"/>
        </w:rPr>
        <w:t xml:space="preserve">. </w:t>
      </w:r>
      <w:r w:rsidRPr="00FB7DA8">
        <w:rPr>
          <w:b/>
          <w:bCs/>
          <w:color w:val="000000"/>
          <w:sz w:val="28"/>
          <w:szCs w:val="28"/>
        </w:rPr>
        <w:t xml:space="preserve">Những khó khăn khi áp dụng </w:t>
      </w:r>
      <w:hyperlink r:id="rId7" w:tgtFrame="_blank" w:history="1">
        <w:r w:rsidRPr="00FB7DA8">
          <w:rPr>
            <w:rStyle w:val="Hyperlink"/>
            <w:b/>
            <w:bCs/>
            <w:color w:val="000000"/>
            <w:sz w:val="28"/>
            <w:szCs w:val="28"/>
            <w:u w:val="none"/>
          </w:rPr>
          <w:t>chuẩn mực kế toán</w:t>
        </w:r>
      </w:hyperlink>
      <w:r w:rsidRPr="00FB7DA8">
        <w:rPr>
          <w:b/>
          <w:bCs/>
          <w:color w:val="000000"/>
          <w:sz w:val="28"/>
          <w:szCs w:val="28"/>
        </w:rPr>
        <w:t xml:space="preserve"> tại các </w:t>
      </w:r>
      <w:hyperlink r:id="rId8" w:tgtFrame="_blank" w:history="1">
        <w:r w:rsidRPr="00FB7DA8">
          <w:rPr>
            <w:rStyle w:val="Hyperlink"/>
            <w:b/>
            <w:bCs/>
            <w:color w:val="000000"/>
            <w:sz w:val="28"/>
            <w:szCs w:val="28"/>
            <w:u w:val="none"/>
          </w:rPr>
          <w:t>doanh nghiệp</w:t>
        </w:r>
      </w:hyperlink>
      <w:r w:rsidRPr="00FB7DA8">
        <w:rPr>
          <w:b/>
          <w:bCs/>
          <w:color w:val="000000"/>
          <w:sz w:val="28"/>
          <w:szCs w:val="28"/>
        </w:rPr>
        <w:t xml:space="preserve"> Việt Nam</w:t>
      </w:r>
    </w:p>
    <w:p w:rsidR="002126EF" w:rsidRPr="00FB7DA8" w:rsidRDefault="002126EF" w:rsidP="00FB7DA8">
      <w:pPr>
        <w:pStyle w:val="NormalWeb"/>
        <w:shd w:val="clear" w:color="auto" w:fill="FFFFFF"/>
        <w:spacing w:before="0" w:beforeAutospacing="0" w:after="0" w:afterAutospacing="0" w:line="264" w:lineRule="auto"/>
        <w:ind w:firstLine="720"/>
        <w:jc w:val="both"/>
        <w:rPr>
          <w:color w:val="000000"/>
          <w:sz w:val="28"/>
          <w:szCs w:val="28"/>
        </w:rPr>
      </w:pPr>
      <w:r w:rsidRPr="00FB7DA8">
        <w:rPr>
          <w:color w:val="000000"/>
          <w:sz w:val="28"/>
          <w:szCs w:val="28"/>
        </w:rPr>
        <w:t xml:space="preserve">Đến nay, Việt Nam đã xây dựng và ban hành được 26 chuẩn mực kế toán. Những chuẩn mực kế toán này được xây dựng dựa trên các chuẩn mực kế toán quốc tế nhằm đảm bảo hệ thống chuẩn mực kế toán Việt Nam đáp ứng yêu cầu hội nhập quốc tế. Doanh nghiệp (DN) Việt Nam áp dụng các chuẩn mực kế toán là một biện pháp cần thiết để đáp ứng tính minh bạch và phản ánh sự chính xác trong các báo cáo tài chính của mình, đồng thời phản ánh được các giao dịch của nền kinh tế thị trường. Tuy nhiên, từ việc ban hành chuẩn mực kế toán đến việc áp dụng các chuẩn mực kế toán là cả quá trình và gặp nhiều vướng mắc, hạn chế như hệ thống pháp luật, văn hóa, trình độ và năng lực </w:t>
      </w:r>
      <w:hyperlink r:id="rId9" w:tgtFrame="_blank" w:history="1">
        <w:r w:rsidRPr="00FB7DA8">
          <w:rPr>
            <w:rStyle w:val="Hyperlink"/>
            <w:color w:val="000000"/>
            <w:sz w:val="28"/>
            <w:szCs w:val="28"/>
            <w:u w:val="none"/>
          </w:rPr>
          <w:t>kế toán viên</w:t>
        </w:r>
      </w:hyperlink>
      <w:r w:rsidRPr="00FB7DA8">
        <w:rPr>
          <w:color w:val="000000"/>
          <w:sz w:val="28"/>
          <w:szCs w:val="28"/>
        </w:rPr>
        <w:t xml:space="preserve">, quy mô DN, hoạt động thị trường tài chính… </w:t>
      </w:r>
    </w:p>
    <w:p w:rsidR="002126EF" w:rsidRPr="00FB7DA8" w:rsidRDefault="002126EF" w:rsidP="00FB7DA8">
      <w:pPr>
        <w:pStyle w:val="NormalWeb"/>
        <w:shd w:val="clear" w:color="auto" w:fill="FFFFFF"/>
        <w:spacing w:before="0" w:beforeAutospacing="0" w:after="0" w:afterAutospacing="0" w:line="264" w:lineRule="auto"/>
        <w:ind w:firstLine="720"/>
        <w:jc w:val="both"/>
        <w:rPr>
          <w:color w:val="000000"/>
          <w:sz w:val="28"/>
          <w:szCs w:val="28"/>
        </w:rPr>
      </w:pPr>
      <w:r w:rsidRPr="00FB7DA8">
        <w:rPr>
          <w:color w:val="000000"/>
          <w:sz w:val="28"/>
          <w:szCs w:val="28"/>
        </w:rPr>
        <w:t xml:space="preserve">* </w:t>
      </w:r>
      <w:r w:rsidRPr="00FB7DA8">
        <w:rPr>
          <w:i/>
          <w:iCs/>
          <w:color w:val="000000"/>
          <w:sz w:val="28"/>
          <w:szCs w:val="28"/>
        </w:rPr>
        <w:t>Về hệ thống văn bản pháp luật</w:t>
      </w:r>
    </w:p>
    <w:p w:rsidR="002126EF" w:rsidRPr="00FB7DA8" w:rsidRDefault="002126EF" w:rsidP="00FB7DA8">
      <w:pPr>
        <w:pStyle w:val="NormalWeb"/>
        <w:shd w:val="clear" w:color="auto" w:fill="FFFFFF"/>
        <w:spacing w:before="0" w:beforeAutospacing="0" w:after="0" w:afterAutospacing="0" w:line="264" w:lineRule="auto"/>
        <w:ind w:firstLine="720"/>
        <w:jc w:val="both"/>
        <w:rPr>
          <w:color w:val="000000"/>
          <w:sz w:val="28"/>
          <w:szCs w:val="28"/>
        </w:rPr>
      </w:pPr>
      <w:r w:rsidRPr="00FB7DA8">
        <w:rPr>
          <w:color w:val="000000"/>
          <w:sz w:val="28"/>
          <w:szCs w:val="28"/>
        </w:rPr>
        <w:t xml:space="preserve">Hiện nay, tại Việt Nam việc tồn tại song song chuẩn mực kế toán và chế độ kế toán. Một mặt nó thể hiện sự hội nhập của Việt Nam với thông lệ chung của kế toán quốc tế, một mặt thể hiện sự quản lý thống nhất của Nhà nước về kế toán. Hệ thống pháp lý kế toán này mang dáng dấp đạo luật nên việc vận dụng chuẩn mực kế toán ở Việt Nam không thể theo mô hình Anglo - Saxon với tính linh hoạt cao về nghề nghiệp. </w:t>
      </w:r>
    </w:p>
    <w:p w:rsidR="002126EF" w:rsidRPr="00FB7DA8" w:rsidRDefault="002126EF" w:rsidP="00FB7DA8">
      <w:pPr>
        <w:pStyle w:val="NormalWeb"/>
        <w:shd w:val="clear" w:color="auto" w:fill="FFFFFF"/>
        <w:spacing w:before="0" w:beforeAutospacing="0" w:after="0" w:afterAutospacing="0" w:line="264" w:lineRule="auto"/>
        <w:ind w:firstLine="720"/>
        <w:jc w:val="both"/>
        <w:rPr>
          <w:color w:val="000000"/>
          <w:sz w:val="28"/>
          <w:szCs w:val="28"/>
        </w:rPr>
      </w:pPr>
      <w:r w:rsidRPr="00FB7DA8">
        <w:rPr>
          <w:color w:val="000000"/>
          <w:sz w:val="28"/>
          <w:szCs w:val="28"/>
        </w:rPr>
        <w:t xml:space="preserve">Các nguyên tắc kế toán hiện hành được quy chiếu vào chế độ kế toán. Theo đó, Nhà nước có vai trò kiểm soát kế toán về phương pháp đo lường, đánh giá, soạn thảo và trình bày báo cáo; Việc soạn thảo, ban hành các chuẩn mực kế toán và các hướng dẫn thực hiện phải do các cơ quan nhà nước thực hiện và được đặt trong các bộ luật hoặc các văn bản pháp lý dưới luật. Do vậy, tính thống nhất trong công tác kế toán cao, biểu hiện qua việc tồn tại hệ thống tài khoản kế toán thống nhất, biểu mẫu tài chính thống nhất. </w:t>
      </w:r>
    </w:p>
    <w:p w:rsidR="002126EF" w:rsidRPr="00FB7DA8" w:rsidRDefault="002126EF" w:rsidP="00FB7DA8">
      <w:pPr>
        <w:pStyle w:val="NormalWeb"/>
        <w:shd w:val="clear" w:color="auto" w:fill="FFFFFF"/>
        <w:spacing w:before="0" w:beforeAutospacing="0" w:after="0" w:afterAutospacing="0" w:line="264" w:lineRule="auto"/>
        <w:ind w:firstLine="720"/>
        <w:jc w:val="both"/>
        <w:rPr>
          <w:color w:val="000000"/>
          <w:sz w:val="28"/>
          <w:szCs w:val="28"/>
        </w:rPr>
      </w:pPr>
      <w:r w:rsidRPr="00FB7DA8">
        <w:rPr>
          <w:color w:val="000000"/>
          <w:sz w:val="28"/>
          <w:szCs w:val="28"/>
        </w:rPr>
        <w:t>Bên cạnh đó, các quy định về pháp luật thuế cũng có ảnh hưởng đối với công tác kế toán. Tại các DN ở Việt Nam, công việc ghi nhận và đo lường kế toán thường dựa trên cơ sở quy định của thuế, dẫn đến không có sự khác biệt rõ ràng giữa lợi nhuận kế toán và thuế. Nhận thức đó đã ăn sâu và tác động rất lớn vào hành vi của người làm kế toán, dù những cải cách gần đây đã thay đổi tác động của thuế đối với kế toán. Bản thân cơ quan thuế cũng như cán bộ thuế cũng chưa nắm đầy đủ về các chuẩn mực kế toán, nên có những tranh luận giữa các DN và cơ quan thuế khi cơ quan thuế nhận báo cáo tài chính của DN.</w:t>
      </w:r>
    </w:p>
    <w:p w:rsidR="002126EF" w:rsidRPr="00FB7DA8" w:rsidRDefault="002126EF" w:rsidP="00FB7DA8">
      <w:pPr>
        <w:pStyle w:val="NormalWeb"/>
        <w:shd w:val="clear" w:color="auto" w:fill="FFFFFF"/>
        <w:spacing w:before="0" w:beforeAutospacing="0" w:after="0" w:afterAutospacing="0" w:line="264" w:lineRule="auto"/>
        <w:ind w:firstLine="720"/>
        <w:jc w:val="both"/>
        <w:rPr>
          <w:color w:val="000000"/>
          <w:sz w:val="28"/>
          <w:szCs w:val="28"/>
        </w:rPr>
      </w:pPr>
      <w:r w:rsidRPr="00FB7DA8">
        <w:rPr>
          <w:color w:val="000000"/>
          <w:sz w:val="28"/>
          <w:szCs w:val="28"/>
        </w:rPr>
        <w:t xml:space="preserve">* </w:t>
      </w:r>
      <w:r w:rsidRPr="00FB7DA8">
        <w:rPr>
          <w:i/>
          <w:iCs/>
          <w:color w:val="000000"/>
          <w:sz w:val="28"/>
          <w:szCs w:val="28"/>
        </w:rPr>
        <w:t>Về kinh nghiệm và trình độ của kế toán viên</w:t>
      </w:r>
    </w:p>
    <w:p w:rsidR="002126EF" w:rsidRPr="00FB7DA8" w:rsidRDefault="002126EF" w:rsidP="00FB7DA8">
      <w:pPr>
        <w:pStyle w:val="NormalWeb"/>
        <w:shd w:val="clear" w:color="auto" w:fill="FFFFFF"/>
        <w:spacing w:before="0" w:beforeAutospacing="0" w:after="0" w:afterAutospacing="0" w:line="264" w:lineRule="auto"/>
        <w:ind w:firstLine="720"/>
        <w:jc w:val="both"/>
        <w:rPr>
          <w:color w:val="000000"/>
          <w:sz w:val="28"/>
          <w:szCs w:val="28"/>
        </w:rPr>
      </w:pPr>
      <w:r w:rsidRPr="00FB7DA8">
        <w:rPr>
          <w:color w:val="000000"/>
          <w:sz w:val="28"/>
          <w:szCs w:val="28"/>
        </w:rPr>
        <w:t>Lịch sử phát triển của kế toán các nước cho thấy, sự phát triển của kế toán có liên quan đến mức độ giáo dục và chuyên nghiệp của kế toán viên. Kế toán có trình độ đại học càng nhiều thì khả năng vận dụng các chuẩn mực kế toán ngày càng cao. Đây là điều phù hợp vì những kiến thức trong quá trình đào tạo sẽ giúp kế toán viên có nhận thức tốt hơn về khoa học kế toán, có khả năng vận dụng, lựa chọn các kỹ thuật, các chính sách kế toán phù hợp để tối đa hóa lợi ích của DN mình. Tuy nhiên, trong thực tiễn, nội dung các chuẩn mực còn quá mới mẻ với quá nhiều khái niệm, thuật ngữ, trong khi số kế toán viên chỉ am hiểu và vận dụng trên sơ sở các thông tư hướng dẫn chi tiết trong công tác kế toán. Đây được xem là một trong những rào cản ảnh hưởng đến việc vận dụng các chuẩn mực kế toán.</w:t>
      </w:r>
    </w:p>
    <w:p w:rsidR="002126EF" w:rsidRPr="00FB7DA8" w:rsidRDefault="002126EF" w:rsidP="00FB7DA8">
      <w:pPr>
        <w:pStyle w:val="NormalWeb"/>
        <w:shd w:val="clear" w:color="auto" w:fill="FFFFFF"/>
        <w:spacing w:before="0" w:beforeAutospacing="0" w:after="0" w:afterAutospacing="0" w:line="264" w:lineRule="auto"/>
        <w:ind w:firstLine="720"/>
        <w:jc w:val="both"/>
        <w:rPr>
          <w:color w:val="000000"/>
          <w:sz w:val="28"/>
          <w:szCs w:val="28"/>
        </w:rPr>
      </w:pPr>
      <w:r w:rsidRPr="00FB7DA8">
        <w:rPr>
          <w:color w:val="000000"/>
          <w:sz w:val="28"/>
          <w:szCs w:val="28"/>
        </w:rPr>
        <w:t xml:space="preserve">* </w:t>
      </w:r>
      <w:r w:rsidRPr="00FB7DA8">
        <w:rPr>
          <w:i/>
          <w:iCs/>
          <w:color w:val="000000"/>
          <w:sz w:val="28"/>
          <w:szCs w:val="28"/>
        </w:rPr>
        <w:t>Về phía các doanh nghiệp Việt Nam</w:t>
      </w:r>
    </w:p>
    <w:p w:rsidR="002126EF" w:rsidRPr="00FB7DA8" w:rsidRDefault="002126EF" w:rsidP="00FB7DA8">
      <w:pPr>
        <w:pStyle w:val="NormalWeb"/>
        <w:shd w:val="clear" w:color="auto" w:fill="FFFFFF"/>
        <w:spacing w:before="0" w:beforeAutospacing="0" w:after="0" w:afterAutospacing="0" w:line="264" w:lineRule="auto"/>
        <w:ind w:firstLine="720"/>
        <w:jc w:val="both"/>
        <w:rPr>
          <w:color w:val="000000"/>
          <w:sz w:val="28"/>
          <w:szCs w:val="28"/>
        </w:rPr>
      </w:pPr>
      <w:r w:rsidRPr="00FB7DA8">
        <w:rPr>
          <w:color w:val="000000"/>
          <w:sz w:val="28"/>
          <w:szCs w:val="28"/>
        </w:rPr>
        <w:t>Hầu hết các chủ DN rất ít sử dụng báo cáo tài chính trong việc ra quyết định đầu tư mà chủ yếu quan tâm đến vấn đề kê khai thuế. Bên cạnh đó, chi phí cho việc áp dụng các chuẩn mực kế toán như mua phần mềm và nâng cấp công nghệ, thuê tư vấn, đào tạo nhân viên hay tuyển nhân viên kế toán có trình độ cũng là rào cản khiến các DN hạn chế áp dụng chuẩn mực kế toán.</w:t>
      </w:r>
    </w:p>
    <w:p w:rsidR="002126EF" w:rsidRPr="00FB7DA8" w:rsidRDefault="002126EF" w:rsidP="00FB7DA8">
      <w:pPr>
        <w:pStyle w:val="NormalWeb"/>
        <w:shd w:val="clear" w:color="auto" w:fill="FFFFFF"/>
        <w:spacing w:before="0" w:beforeAutospacing="0" w:after="0" w:afterAutospacing="0" w:line="264" w:lineRule="auto"/>
        <w:ind w:firstLine="720"/>
        <w:jc w:val="both"/>
        <w:rPr>
          <w:color w:val="000000"/>
          <w:sz w:val="28"/>
          <w:szCs w:val="28"/>
        </w:rPr>
      </w:pPr>
      <w:r w:rsidRPr="00FB7DA8">
        <w:rPr>
          <w:color w:val="000000"/>
          <w:sz w:val="28"/>
          <w:szCs w:val="28"/>
        </w:rPr>
        <w:t xml:space="preserve">Hơn nữa, số lượng DN đang hoạt động chủ yếu là DN nhỏ và vừa. Đây được xem là rào cản đáng kể đến việc vận dụng chuẩn mực kế toán. Các DN có quy mô lớn thường hoạt động trên nhiều lĩnh vực khác nhau, mức độ phức tạp của các nghiệp vụ kinh tế rất cao, do vậy, việc vận dụng các chuẩn mực kế toán sẽ đầy đủ hơn. Các DN càng lớn càng có nhiều nguồn lực tài chính để thực hiện các chuẩn mực kế toán mới.  </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Ngoài ra, kết quả hoạt động kinh doanh của các DN cũng phần nào tác động đến việc thực hiện chuẩn mực kế toán. Thông thường, các DN có khả năng sinh lời cao sẽ mở rộng địa bàn kinh doanh, tìm kiếm các nguồn tài trợ để thực hiện các phương án kinh doanh mới. Trong bối cảnh đó, số liệu báo cáo tài chính trung thực và hợp lý luôn là một trong những tiêu chí để các đối tác xem xét trước khi ra quyết định kinh doanh.</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i/>
          <w:iCs/>
          <w:color w:val="000000"/>
          <w:sz w:val="28"/>
          <w:szCs w:val="28"/>
        </w:rPr>
        <w:t>* Về hoạt động của thị trường tài chính</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 xml:space="preserve">Thị trường tài chính (thị trường chứng khoán) của Việt Nam là một trong những thị trường non trẻ nhất trên thế giới. Đến nay, nó vẫn chưa thể hiện rõ vai trò quan trọng đối với nền kinh tế, mới chỉ trong phạm vi quốc gia, chưa liên thông với thị trường vốn trên thế giới. </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Định hướng phát triển của chuẩn mực kế toán Việt Nam để phục vụ cho các nhà đầu tư trên thị trường vốn chưa đi sâu và nhu cầu của Việt Nam về một hệ thống kế toán phức tạp để phục vụ thị trường chứng khoán là chưa cấp bách. Ngoài ra, nhiều đối tượng (nhà đầu tư) sử dụng báo cáo tài chính chưa có nhu cầu thực sự đối vối thông tin tài chính chất lượng cao, vì thông tin tài chính chỉ đóng vai trò thứ yếu trong việc ra quyết định của họ.</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color w:val="000000"/>
          <w:sz w:val="28"/>
          <w:szCs w:val="28"/>
        </w:rPr>
        <w:t>Như vậy, các rào cản trên ảnh hưởng đến việc áp dụng chuẩn mực kế toán và tác động đến lợi ích của việc áp dụng chuẩn mực kế toán. Lợi ích này được xem xét ở khả năng tiếp cận các khoản tín dụng từ ngân hàng, tính minh bạch của thông tin sẽ giúp tăng hình ảnh của DN và từ đó sẽ tạo điều kiện mở rộng hoạt động kinh doanh.</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b/>
          <w:bCs/>
          <w:color w:val="000000"/>
          <w:sz w:val="28"/>
          <w:szCs w:val="28"/>
        </w:rPr>
        <w:t>4</w:t>
      </w:r>
      <w:r w:rsidRPr="00FB7DA8">
        <w:rPr>
          <w:color w:val="000000"/>
          <w:sz w:val="28"/>
          <w:szCs w:val="28"/>
        </w:rPr>
        <w:t xml:space="preserve">. </w:t>
      </w:r>
      <w:r w:rsidRPr="00FB7DA8">
        <w:rPr>
          <w:rStyle w:val="Strong"/>
          <w:sz w:val="28"/>
          <w:szCs w:val="28"/>
        </w:rPr>
        <w:t xml:space="preserve">Định hướng áp dụng IFRS ở Việt Nam </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r w:rsidRPr="00FB7DA8">
        <w:rPr>
          <w:rStyle w:val="Emphasis"/>
          <w:b/>
          <w:bCs/>
          <w:sz w:val="28"/>
          <w:szCs w:val="28"/>
        </w:rPr>
        <w:t xml:space="preserve">Thứ nhất, áp dụng IFRS từng phần theo lộ trình phù hợp  </w:t>
      </w:r>
    </w:p>
    <w:p w:rsidR="002126EF" w:rsidRPr="00FB7DA8" w:rsidRDefault="002126EF" w:rsidP="00FB7DA8">
      <w:pPr>
        <w:pStyle w:val="NormalWeb"/>
        <w:spacing w:before="0" w:beforeAutospacing="0" w:after="0" w:afterAutospacing="0" w:line="264" w:lineRule="auto"/>
        <w:ind w:firstLine="720"/>
        <w:jc w:val="both"/>
        <w:rPr>
          <w:sz w:val="28"/>
          <w:szCs w:val="28"/>
        </w:rPr>
      </w:pPr>
      <w:r w:rsidRPr="00FB7DA8">
        <w:rPr>
          <w:sz w:val="28"/>
          <w:szCs w:val="28"/>
        </w:rPr>
        <w:t>Một vấn đề đặt ra cho Việt Nam hay bất kỳ quốc gia nào đang cần cập nhật các CMKT, là liệu có nên áp dụng IFRS hay điều chỉnh để phù hợp với những yêu cầu trong nước và đại đa số đã chọn áp dụng nguyên vẹn IFRS. Cụ thể, nhiều chuyên gia và tổ chức nghề nghiệp quốc tế đã khuyến cáo, Việt Nam nên áp dụng nguyên vẹn bộ Chuẩn mực IFRS, không nên áp dụng theo kiểu từng phần như một số quốc gia. Bởi vì, khi đầu tư vào Việt Nam, nhà đầu tư nước ngoài không muốn gặp rắc rối kiểu chuẩn mực IFRS bị “Việt Nam hóa”. Nhà đầu tư nước ngoài cho rằng, họ nhận được nhiều lợi ích hơn ở các quốc gia mà họ đầu tư áp dụng nguyên vẹn chuẩn mực IFRS so với các nước chỉ áp dụng 80- 90% chuẩn mực này. IFRS là ngôn ngữ kế toán quốc tế, nên việc áp dụng nguyên vẹn sẽ giúp các tổ chức cung cấp dịch vụ, nhà đầu tư nước ngoài dễ “giao tiếp”, làm ăn với nhau hơn,… </w:t>
      </w:r>
    </w:p>
    <w:p w:rsidR="002126EF" w:rsidRPr="00FB7DA8" w:rsidRDefault="002126EF" w:rsidP="00FB7DA8">
      <w:pPr>
        <w:pStyle w:val="NormalWeb"/>
        <w:spacing w:before="0" w:beforeAutospacing="0" w:after="0" w:afterAutospacing="0" w:line="264" w:lineRule="auto"/>
        <w:ind w:firstLine="720"/>
        <w:jc w:val="both"/>
        <w:rPr>
          <w:sz w:val="28"/>
          <w:szCs w:val="28"/>
        </w:rPr>
      </w:pPr>
      <w:r w:rsidRPr="00FB7DA8">
        <w:rPr>
          <w:sz w:val="28"/>
          <w:szCs w:val="28"/>
        </w:rPr>
        <w:t>Tuy nhiên, việc xem xét áp dụng IFRS vào các DN Việt Nam cần dựa vào điều kiện cụ thể của nước ta trong bối cảnh nền kinh tế thị trường chuyển đổi, đòi hỏi cần có lộ trình phù hợp trước khi tiến tới áp dụng hoàn toàn IFRS. Cụ thể, phần lớn các DN Việt Nam đang áp dụng CMKT Việt Nam (VAS) để lập BCTC theo nguyên tắc giá gốc, còn IFRS theo nguyên tắc giá thị trường (giá trị hợp lý). IFRS được xây dựng, để áp dụng cho các nền kinh tế phát triển, khi mà các yếu tố thị trường đã phát triển đồng bộ, có thị trường thuận lợi cho định giá các loại tài sản theo giá thị trường. Các yếu tố này chưa có được đầy đủ ở các quốc gia đang phát triển như Việt Nam, nên trong giai đoạn ban đầu mà áp dụng nguyên vẹn IFRS sẽ gặp không ít khó khăn với nước ta, nhất là nếu quá trình chuẩn bị các yếu tố cần thiết không được thúc đẩy quyết liệt, đồng bộ. </w:t>
      </w:r>
    </w:p>
    <w:p w:rsidR="002126EF" w:rsidRPr="00FB7DA8" w:rsidRDefault="002126EF" w:rsidP="00FB7DA8">
      <w:pPr>
        <w:pStyle w:val="NormalWeb"/>
        <w:spacing w:before="0" w:beforeAutospacing="0" w:after="0" w:afterAutospacing="0" w:line="264" w:lineRule="auto"/>
        <w:ind w:firstLine="720"/>
        <w:jc w:val="both"/>
        <w:rPr>
          <w:sz w:val="28"/>
          <w:szCs w:val="28"/>
        </w:rPr>
      </w:pPr>
      <w:r w:rsidRPr="00FB7DA8">
        <w:rPr>
          <w:sz w:val="28"/>
          <w:szCs w:val="28"/>
        </w:rPr>
        <w:t>Do vậy, Việt Nam nên chọn áp dụng IFRS từng phần sẽ phù hợp với điều kiện kinh tế, khả năng ngoại ngữ, trình độ của thị trường lao động và sự phát triển của thị trường chứng khoán Việt Nam. Với mô hình này, Việt Nam có khả năng thực hiện được song song 2 hệ thống chuẩn mực: IAS/IFRS và CMKT quốc gia. Đối với các công ty niêm yết, các công ty đại chúng, các công ty bảo hiểm, tổ chức tín dụng, tổng công ty Nhà nước cần quy định bắt buộc áp dụng IFRS trong việc lập và trình bày BCTC. Còn đối với các DN khác với các nghiệp vụ kinh tế tài chính đơn giản, tính so sánh của thông tin trên phạm vi quốc tế chưa cao, các yêu cầu về pháp lý, kinh tế, văn hóa, xã hội và trình độ ngoại ngữ còn hạn chế, sẽ lập BCTC theo VAS và các chế độ kế toán hiện hành.</w:t>
      </w:r>
    </w:p>
    <w:p w:rsidR="002126EF" w:rsidRPr="00FB7DA8" w:rsidRDefault="002126EF" w:rsidP="00FB7DA8">
      <w:pPr>
        <w:pStyle w:val="NormalWeb"/>
        <w:spacing w:before="0" w:beforeAutospacing="0" w:after="0" w:afterAutospacing="0" w:line="264" w:lineRule="auto"/>
        <w:ind w:firstLine="720"/>
        <w:jc w:val="both"/>
        <w:rPr>
          <w:sz w:val="28"/>
          <w:szCs w:val="28"/>
        </w:rPr>
      </w:pPr>
      <w:r w:rsidRPr="00FB7DA8">
        <w:rPr>
          <w:sz w:val="28"/>
          <w:szCs w:val="28"/>
        </w:rPr>
        <w:t>Việt Nam nên nghiên cứu, xem xét triển khai IFRS ngay sau thời điểm Luật Kế toán 2015 có hiệu lực từ ngày 1/1/2017. Để việc triển khai IFRS đảm bảo tính khả thi, cơ quan quản lý nên đưa ra hệ thống chính sách theo hướng ban đầu áp dụng đối với các DN quy mô lớn thường xuyên có quan hệ sản xuất, kinh doanh với các đối tác quốc tế, các DN có vốn đầu tư nước ngoài, các công ty cổ phần niêm yết trên sàn chứng khoán có trách nhiệm báo cáo đến các cổ đông. Các công ty này cũng bao gồm các ngân hàng, công ty bảo hiểm, các tổ chức tương hỗ và các tổ chức tương tự có nhận vốn từ công chúng. Khi những lợi ích của việc triển khai IFRS được kiểm chứng, đồng thời các yếu tố thuận lợi cho triển khai rộng rãi IFRS chín muồi, thì sẽ tiến tới áp dụng chuẩn mực này cho tất cả các DN trong nền kinh tế.</w:t>
      </w:r>
    </w:p>
    <w:p w:rsidR="002126EF" w:rsidRPr="00FB7DA8" w:rsidRDefault="002126EF" w:rsidP="00FB7DA8">
      <w:pPr>
        <w:pStyle w:val="NormalWeb"/>
        <w:spacing w:before="0" w:beforeAutospacing="0" w:after="0" w:afterAutospacing="0" w:line="264" w:lineRule="auto"/>
        <w:ind w:firstLine="720"/>
        <w:jc w:val="both"/>
        <w:rPr>
          <w:sz w:val="28"/>
          <w:szCs w:val="28"/>
        </w:rPr>
      </w:pPr>
      <w:r w:rsidRPr="00FB7DA8">
        <w:rPr>
          <w:rStyle w:val="Emphasis"/>
          <w:b/>
          <w:bCs/>
          <w:sz w:val="28"/>
          <w:szCs w:val="28"/>
        </w:rPr>
        <w:t xml:space="preserve">Thứ hai, xây dựng bộ CMKT áp dụng riêng cho các DN vừa và nhỏ </w:t>
      </w:r>
    </w:p>
    <w:p w:rsidR="002126EF" w:rsidRPr="00FB7DA8" w:rsidRDefault="002126EF" w:rsidP="00FB7DA8">
      <w:pPr>
        <w:pStyle w:val="NormalWeb"/>
        <w:spacing w:before="0" w:beforeAutospacing="0" w:after="0" w:afterAutospacing="0" w:line="264" w:lineRule="auto"/>
        <w:ind w:firstLine="720"/>
        <w:jc w:val="both"/>
        <w:rPr>
          <w:sz w:val="28"/>
          <w:szCs w:val="28"/>
        </w:rPr>
      </w:pPr>
      <w:r w:rsidRPr="00FB7DA8">
        <w:rPr>
          <w:sz w:val="28"/>
          <w:szCs w:val="28"/>
        </w:rPr>
        <w:t>Đối với các DNNVV không có trách nhiệm BCTC ra công chúng, các DN này có thể lập BCTC dựa theo Thông tư 133/2016/TT – BTC do Bộ Tài chính ban hành về chế độ kế toán áp dụng cho DNNVV.</w:t>
      </w:r>
    </w:p>
    <w:p w:rsidR="002126EF" w:rsidRPr="00FB7DA8" w:rsidRDefault="002126EF" w:rsidP="00FB7DA8">
      <w:pPr>
        <w:pStyle w:val="NormalWeb"/>
        <w:spacing w:before="0" w:beforeAutospacing="0" w:after="0" w:afterAutospacing="0" w:line="264" w:lineRule="auto"/>
        <w:ind w:firstLine="720"/>
        <w:jc w:val="both"/>
        <w:rPr>
          <w:sz w:val="28"/>
          <w:szCs w:val="28"/>
        </w:rPr>
      </w:pPr>
      <w:r w:rsidRPr="00FB7DA8">
        <w:rPr>
          <w:sz w:val="28"/>
          <w:szCs w:val="28"/>
        </w:rPr>
        <w:t>Đồng thời, Bộ Tài chính cần tiến hành xây dựng bộ CMKT áp dụng riêng cho các DN quy mô nhỏ và vừa. Nhóm DN này có số lượng các nghiệp vụ kinh tế tài chính phát sinh ít, bản chất nghiệp vụ đơn giản nên nếu áp dụng cùng bộ chuẩn mực BCTC quốc tế thì quá phức tạp và không phù hợp. Mặt khác, do điều kiện về năng lực của kế toán viên của nhóm DN này còn hạn chế nên khả năng vận dụng chuẩn mực BCTC quốc tế là hết sức khó khăn.</w:t>
      </w:r>
    </w:p>
    <w:p w:rsidR="002126EF" w:rsidRPr="00FB7DA8" w:rsidRDefault="002126EF" w:rsidP="00FB7DA8">
      <w:pPr>
        <w:pStyle w:val="NormalWeb"/>
        <w:spacing w:before="0" w:beforeAutospacing="0" w:after="0" w:afterAutospacing="0" w:line="264" w:lineRule="auto"/>
        <w:ind w:firstLine="720"/>
        <w:jc w:val="both"/>
        <w:rPr>
          <w:sz w:val="28"/>
          <w:szCs w:val="28"/>
        </w:rPr>
      </w:pPr>
      <w:r w:rsidRPr="00FB7DA8">
        <w:rPr>
          <w:rStyle w:val="Emphasis"/>
          <w:b/>
          <w:bCs/>
          <w:sz w:val="28"/>
          <w:szCs w:val="28"/>
        </w:rPr>
        <w:t>Thứ ba,</w:t>
      </w:r>
      <w:r w:rsidRPr="00FB7DA8">
        <w:rPr>
          <w:sz w:val="28"/>
          <w:szCs w:val="28"/>
        </w:rPr>
        <w:t xml:space="preserve"> </w:t>
      </w:r>
      <w:r w:rsidRPr="00FB7DA8">
        <w:rPr>
          <w:rStyle w:val="Emphasis"/>
          <w:b/>
          <w:bCs/>
          <w:sz w:val="28"/>
          <w:szCs w:val="28"/>
        </w:rPr>
        <w:t>nâng cao vai trò của các Hiệp Hội ngành nghề kế toán, kiểm toán</w:t>
      </w:r>
      <w:r w:rsidRPr="00FB7DA8">
        <w:rPr>
          <w:sz w:val="28"/>
          <w:szCs w:val="28"/>
        </w:rPr>
        <w:t>. </w:t>
      </w:r>
    </w:p>
    <w:p w:rsidR="002126EF" w:rsidRPr="00FB7DA8" w:rsidRDefault="002126EF" w:rsidP="00FB7DA8">
      <w:pPr>
        <w:pStyle w:val="NormalWeb"/>
        <w:spacing w:before="0" w:beforeAutospacing="0" w:after="0" w:afterAutospacing="0" w:line="264" w:lineRule="auto"/>
        <w:ind w:firstLine="720"/>
        <w:jc w:val="both"/>
        <w:rPr>
          <w:sz w:val="28"/>
          <w:szCs w:val="28"/>
        </w:rPr>
      </w:pPr>
      <w:r w:rsidRPr="00FB7DA8">
        <w:rPr>
          <w:sz w:val="28"/>
          <w:szCs w:val="28"/>
        </w:rPr>
        <w:t>Triển khai IFRS là vấn đề không đơn giản và rất quan trọng, nên Việt Nam cần có sự tư vấn, hỗ trợ của Hội CMKT quốc tế và chuyên gia của các tổ chức nghề nghiệp quốc tế trong quá trình triển khai áp dụng IFRS, thông qua nhiều hình thức như: Đào tạo, cung cấp tài liệu giảng dạy, hỗ trợ kỹ thuật,… Ngoài ra, với kinh nghiệm lâu năm trong việc tư vấn áp dụng IFRS trên toàn cầu, một số tổ chức nghề nghiệp quốc tế và các công ty kiểm toán sẽ hỗ trợ Bộ Tài chính mà trực tiếp thông qua Vụ Chế độ Kế toán và Kiểm toán, sẽ xây dựng lộ trình và triển khai áp dụng IFRS tại Việt Nam. Đồng thời, sẽ tư vấn, trợ giúp các DN có nhu cầu lập BCTC theo IFRS.</w:t>
      </w:r>
    </w:p>
    <w:p w:rsidR="002126EF" w:rsidRPr="00FB7DA8" w:rsidRDefault="002126EF" w:rsidP="00FB7DA8">
      <w:pPr>
        <w:pStyle w:val="NormalWeb"/>
        <w:spacing w:before="0" w:beforeAutospacing="0" w:after="0" w:afterAutospacing="0" w:line="264" w:lineRule="auto"/>
        <w:ind w:firstLine="720"/>
        <w:jc w:val="both"/>
        <w:rPr>
          <w:sz w:val="28"/>
          <w:szCs w:val="28"/>
        </w:rPr>
      </w:pPr>
      <w:r w:rsidRPr="00FB7DA8">
        <w:rPr>
          <w:sz w:val="28"/>
          <w:szCs w:val="28"/>
        </w:rPr>
        <w:t>Theo thông lệ quốc tế, việc ban hành các CMKT được chuyển giao cho các tổ chức, hội hành nghề kế toán, kiểm toán. Việc làm này sẽ có hiệu quả hơn, bởi đây là những người có kinh nghiệm thực tiễn và là người trực tiếp triển khai, vận dụng các CMKT vào cuộc sống. Trong khi đó, hiện nay việc ban hành CMKT Việt Nam do Bộ Tài chính thực hiện mà chưa có sự góp mặt của các Hội Nghề nghiệp kế toán, kiểm toán, các kiểm toán viên cũng như của các DN. Vì thế, trong thời gian tới, Việt Nam cần nâng cao vai trò của các hội nghề nghiệp kế toán, kiểm toán cũng như đóng góp ý kiến của các kế toán, kiểm toán viên trong việc vận dụng các chuẩn mực BCTC quốc tế đối với các công ty niêm yết, các công ty bảo hiểm, tổ chức tín dụng, ngân hàng,... và trong việc ban hành bộ CMKT quốc gia áp dụng riêng cho các DN còn lại.</w:t>
      </w:r>
    </w:p>
    <w:p w:rsidR="002126EF" w:rsidRPr="00FB7DA8" w:rsidRDefault="002126EF" w:rsidP="00FB7DA8">
      <w:pPr>
        <w:pStyle w:val="NormalWeb"/>
        <w:spacing w:before="0" w:beforeAutospacing="0" w:after="0" w:afterAutospacing="0" w:line="264" w:lineRule="auto"/>
        <w:ind w:firstLine="720"/>
        <w:jc w:val="both"/>
        <w:rPr>
          <w:sz w:val="28"/>
          <w:szCs w:val="28"/>
        </w:rPr>
      </w:pPr>
      <w:r w:rsidRPr="00FB7DA8">
        <w:rPr>
          <w:rStyle w:val="Emphasis"/>
          <w:b/>
          <w:bCs/>
          <w:sz w:val="28"/>
          <w:szCs w:val="28"/>
        </w:rPr>
        <w:t>Thứ tư,</w:t>
      </w:r>
      <w:r w:rsidRPr="00FB7DA8">
        <w:rPr>
          <w:sz w:val="28"/>
          <w:szCs w:val="28"/>
        </w:rPr>
        <w:t xml:space="preserve"> </w:t>
      </w:r>
      <w:r w:rsidRPr="00FB7DA8">
        <w:rPr>
          <w:rStyle w:val="Emphasis"/>
          <w:b/>
          <w:bCs/>
          <w:sz w:val="28"/>
          <w:szCs w:val="28"/>
        </w:rPr>
        <w:t>nâng cao chất lượng đào tạo kế toán</w:t>
      </w:r>
      <w:r w:rsidRPr="00FB7DA8">
        <w:rPr>
          <w:sz w:val="28"/>
          <w:szCs w:val="28"/>
        </w:rPr>
        <w:t xml:space="preserve">. </w:t>
      </w:r>
    </w:p>
    <w:p w:rsidR="002126EF" w:rsidRPr="00FB7DA8" w:rsidRDefault="002126EF" w:rsidP="00FB7DA8">
      <w:pPr>
        <w:pStyle w:val="NormalWeb"/>
        <w:spacing w:before="0" w:beforeAutospacing="0" w:after="0" w:afterAutospacing="0" w:line="264" w:lineRule="auto"/>
        <w:ind w:firstLine="720"/>
        <w:jc w:val="both"/>
        <w:rPr>
          <w:sz w:val="28"/>
          <w:szCs w:val="28"/>
        </w:rPr>
      </w:pPr>
      <w:r w:rsidRPr="00FB7DA8">
        <w:rPr>
          <w:sz w:val="28"/>
          <w:szCs w:val="28"/>
        </w:rPr>
        <w:t>Để có thể áp dụng IFRS thì yếu tố đầu tiên mà Việt Nam cần quan tâm, đặc biệt chính là nguồn nhân lực kế toán. Một trong những lý do Việt Nam không phù hợp với các mô hình hội tụ khác chính là hạn chế về năng lực của đội ngũ kế toán viên. Việc vận dụng IFRS yêu cầu người lao động kế toán phải có kiến thức tốt, trình độ tiếng Anh giỏi. Trong khi đó, thực trạng đào tạo nhân lực kế toán của chúng ta hiện nay nghiêng về mặt đào tạo theo “Chế độ kế toán”, trang bị kiến thức mang tính chất hình thức mà không phải hướng tiếp cận theo bản chất. Chương trình đào tạo kế toán còn quá ít việc đào tạo CMKT quốc tế, chỉ có một số trường đưa môn học này giảng dạy. Bên cạnh đó, khả năng ngoại ngữ của sinh viên Việt Nam chưa đáp ứng được yêu cầu của hội nhập quốc tế. Vì vậy, trong thời gian tới, để Việt Nam có nguồn lao động đáp ứng được yêu cầu vận dụng chuẩn mực BCTC quốc tế trong việc lập và trình bày BCTC, thì ngay từ bây giờ việc nâng cao chất lượng đào tạo hơn lúc nào hết cần được quan tâm.</w:t>
      </w:r>
    </w:p>
    <w:p w:rsidR="002126EF" w:rsidRPr="00FB7DA8" w:rsidRDefault="002126EF" w:rsidP="00FB7DA8">
      <w:pPr>
        <w:pStyle w:val="NormalWeb"/>
        <w:spacing w:before="0" w:beforeAutospacing="0" w:after="0" w:afterAutospacing="0" w:line="264" w:lineRule="auto"/>
        <w:jc w:val="both"/>
        <w:rPr>
          <w:sz w:val="28"/>
          <w:szCs w:val="28"/>
        </w:rPr>
      </w:pPr>
      <w:r w:rsidRPr="00FB7DA8">
        <w:rPr>
          <w:sz w:val="28"/>
          <w:szCs w:val="28"/>
        </w:rPr>
        <w:t>Như vậy, áp dụng IFRS là xu thế tất yếu của các DN Việt Nam trong quá trình toàn cầu hóa kinh tế thế giới. Việc nhìn nhận được những khó khăn, thách thức sẽ giúp các cơ quan Nhà nước và DN cùng tìm ra giải pháp hiệu quả, để sớm đưa IFRS vào áp dụng tại Việt Nam. Hy vọng với sự chung tay của các thể chế tài chính, cơ quan, ban ngành, như Bộ Tài chính, các Hiệp hội nghề nghiệp kế toán kiểm toán, các trường Đại học, cùng với sự cam kết hỗ trợ, tư vấn của IASB và tổ chức nghề nghiệp Quốc tế có kinh nghiệm và uy tín chuyên môn cao, IFRS sẽ sớm được áp dụng rộng rãi trong các DN Việt Nam.</w:t>
      </w:r>
    </w:p>
    <w:p w:rsidR="002126EF" w:rsidRPr="00FB7DA8" w:rsidRDefault="002126EF" w:rsidP="00FB7DA8">
      <w:pPr>
        <w:pStyle w:val="NormalWeb"/>
        <w:spacing w:before="0" w:beforeAutospacing="0" w:after="0" w:afterAutospacing="0" w:line="264" w:lineRule="auto"/>
        <w:ind w:firstLine="720"/>
        <w:jc w:val="both"/>
        <w:rPr>
          <w:color w:val="000000"/>
          <w:sz w:val="28"/>
          <w:szCs w:val="28"/>
        </w:rPr>
      </w:pPr>
    </w:p>
    <w:p w:rsidR="002126EF" w:rsidRPr="00FB7DA8" w:rsidRDefault="002126EF" w:rsidP="00FB7DA8">
      <w:pPr>
        <w:pStyle w:val="NormalWeb"/>
        <w:spacing w:before="0" w:beforeAutospacing="0" w:after="0" w:afterAutospacing="0" w:line="264" w:lineRule="auto"/>
        <w:jc w:val="both"/>
        <w:rPr>
          <w:color w:val="000000"/>
          <w:sz w:val="28"/>
          <w:szCs w:val="28"/>
        </w:rPr>
      </w:pPr>
      <w:r w:rsidRPr="00FB7DA8">
        <w:rPr>
          <w:color w:val="000000"/>
          <w:sz w:val="28"/>
          <w:szCs w:val="28"/>
        </w:rPr>
        <w:tab/>
      </w:r>
    </w:p>
    <w:p w:rsidR="002126EF" w:rsidRPr="00FB7DA8" w:rsidRDefault="002126EF" w:rsidP="00FB7DA8">
      <w:pPr>
        <w:spacing w:line="264" w:lineRule="auto"/>
        <w:jc w:val="center"/>
        <w:rPr>
          <w:color w:val="000000"/>
          <w:sz w:val="28"/>
          <w:szCs w:val="28"/>
        </w:rPr>
      </w:pPr>
    </w:p>
    <w:p w:rsidR="002126EF" w:rsidRPr="00FB7DA8" w:rsidRDefault="002126EF" w:rsidP="00FB7DA8">
      <w:pPr>
        <w:spacing w:line="264" w:lineRule="auto"/>
        <w:jc w:val="center"/>
        <w:rPr>
          <w:color w:val="000000"/>
          <w:sz w:val="28"/>
          <w:szCs w:val="28"/>
        </w:rPr>
      </w:pPr>
    </w:p>
    <w:p w:rsidR="002126EF" w:rsidRPr="00FB7DA8" w:rsidRDefault="002126EF" w:rsidP="00FB7DA8">
      <w:pPr>
        <w:spacing w:line="264" w:lineRule="auto"/>
        <w:jc w:val="center"/>
        <w:rPr>
          <w:color w:val="000000"/>
          <w:sz w:val="28"/>
          <w:szCs w:val="28"/>
        </w:rPr>
      </w:pPr>
    </w:p>
    <w:p w:rsidR="002126EF" w:rsidRPr="00FB7DA8" w:rsidRDefault="002126EF" w:rsidP="00FB7DA8">
      <w:pPr>
        <w:spacing w:line="264" w:lineRule="auto"/>
        <w:jc w:val="center"/>
        <w:rPr>
          <w:b/>
          <w:bCs/>
          <w:color w:val="000000"/>
          <w:sz w:val="28"/>
          <w:szCs w:val="28"/>
        </w:rPr>
      </w:pPr>
      <w:r w:rsidRPr="00FB7DA8">
        <w:rPr>
          <w:b/>
          <w:bCs/>
          <w:color w:val="000000"/>
          <w:sz w:val="28"/>
          <w:szCs w:val="28"/>
        </w:rPr>
        <w:t>KẾT LUẬN</w:t>
      </w:r>
    </w:p>
    <w:p w:rsidR="002126EF" w:rsidRPr="00FB7DA8" w:rsidRDefault="002126EF" w:rsidP="00FB7DA8">
      <w:pPr>
        <w:spacing w:line="264" w:lineRule="auto"/>
        <w:ind w:firstLine="644"/>
        <w:jc w:val="both"/>
        <w:rPr>
          <w:color w:val="000000"/>
          <w:sz w:val="28"/>
          <w:szCs w:val="28"/>
        </w:rPr>
      </w:pPr>
      <w:r w:rsidRPr="00FB7DA8">
        <w:rPr>
          <w:color w:val="000000"/>
          <w:sz w:val="28"/>
          <w:szCs w:val="28"/>
          <w:shd w:val="clear" w:color="auto" w:fill="FFFFFF"/>
        </w:rPr>
        <w:t>Có thể thấy rằng, VAS và IAS/IFRS vẫn còn tồn tại một khoảng cách đáng kể ảnh hưởng đến quá trình hội nhập quốc tế của Việt Nam. Việc áp dụng các IAS thực sự là một thách thức về mức độ phát triển của thị trường, trình độ, năng lực của kiểm toán viên, kế toán viên và cả các nhà đầu tư trên thị trường Việt Nam. Tuy nhiên, việc kế toán theo VAS xích lại gần hơn với IAS về TSCĐ thì sẽ cần một khoảng thời gian dài nữa mới có thể thực hiện được và đòi hỏi nỗ lực từ các doanh nghiệp và đặc biệt là những người làm công tác tài chính kế toán.</w:t>
      </w:r>
    </w:p>
    <w:p w:rsidR="002126EF" w:rsidRPr="00FB7DA8" w:rsidRDefault="002126EF" w:rsidP="00FB7DA8">
      <w:pPr>
        <w:pStyle w:val="Heading1"/>
        <w:spacing w:before="0" w:after="0" w:line="264" w:lineRule="auto"/>
        <w:jc w:val="center"/>
        <w:rPr>
          <w:rFonts w:ascii="Times New Roman" w:hAnsi="Times New Roman" w:cs="Times New Roman"/>
          <w:color w:val="000000"/>
          <w:sz w:val="28"/>
          <w:szCs w:val="28"/>
        </w:rPr>
      </w:pPr>
    </w:p>
    <w:p w:rsidR="002126EF" w:rsidRPr="00FB7DA8" w:rsidRDefault="002126EF" w:rsidP="00FB7DA8">
      <w:pPr>
        <w:pStyle w:val="Heading1"/>
        <w:spacing w:before="0" w:after="0" w:line="264" w:lineRule="auto"/>
        <w:jc w:val="center"/>
        <w:rPr>
          <w:rFonts w:ascii="Times New Roman" w:hAnsi="Times New Roman" w:cs="Times New Roman"/>
          <w:color w:val="000000"/>
          <w:sz w:val="28"/>
          <w:szCs w:val="28"/>
        </w:rPr>
      </w:pPr>
    </w:p>
    <w:p w:rsidR="002126EF" w:rsidRPr="00FB7DA8" w:rsidRDefault="002126EF" w:rsidP="00FB7DA8">
      <w:pPr>
        <w:pStyle w:val="Heading1"/>
        <w:spacing w:before="0" w:after="0" w:line="264" w:lineRule="auto"/>
        <w:jc w:val="center"/>
        <w:rPr>
          <w:rFonts w:ascii="Times New Roman" w:hAnsi="Times New Roman" w:cs="Times New Roman"/>
          <w:color w:val="000000"/>
          <w:sz w:val="28"/>
          <w:szCs w:val="28"/>
        </w:rPr>
      </w:pPr>
      <w:r w:rsidRPr="00FB7DA8">
        <w:rPr>
          <w:rFonts w:ascii="Times New Roman" w:hAnsi="Times New Roman" w:cs="Times New Roman"/>
          <w:color w:val="000000"/>
          <w:sz w:val="28"/>
          <w:szCs w:val="28"/>
        </w:rPr>
        <w:t>DANH MỤC TÀI LIỆU THAM KHẢO</w:t>
      </w:r>
    </w:p>
    <w:p w:rsidR="002126EF" w:rsidRPr="00FB7DA8" w:rsidRDefault="002126EF" w:rsidP="00FB7DA8">
      <w:pPr>
        <w:spacing w:line="264" w:lineRule="auto"/>
        <w:rPr>
          <w:color w:val="000000"/>
          <w:sz w:val="28"/>
          <w:szCs w:val="28"/>
        </w:rPr>
      </w:pPr>
    </w:p>
    <w:p w:rsidR="002126EF" w:rsidRPr="00FB7DA8" w:rsidRDefault="002126EF" w:rsidP="00FB7DA8">
      <w:pPr>
        <w:spacing w:line="264" w:lineRule="auto"/>
        <w:ind w:firstLine="720"/>
        <w:jc w:val="both"/>
        <w:rPr>
          <w:b/>
          <w:bCs/>
          <w:color w:val="000000"/>
          <w:sz w:val="28"/>
          <w:szCs w:val="28"/>
        </w:rPr>
      </w:pPr>
      <w:r w:rsidRPr="00FB7DA8">
        <w:rPr>
          <w:b/>
          <w:bCs/>
          <w:color w:val="000000"/>
          <w:sz w:val="28"/>
          <w:szCs w:val="28"/>
        </w:rPr>
        <w:t>I. Tài liệu tham khảo bằng tiếng Việt:</w:t>
      </w:r>
    </w:p>
    <w:p w:rsidR="002126EF" w:rsidRPr="00FB7DA8" w:rsidRDefault="002126EF" w:rsidP="00FB7DA8">
      <w:pPr>
        <w:spacing w:line="264" w:lineRule="auto"/>
        <w:ind w:firstLine="720"/>
        <w:jc w:val="both"/>
        <w:rPr>
          <w:color w:val="000000"/>
          <w:sz w:val="28"/>
          <w:szCs w:val="28"/>
        </w:rPr>
      </w:pPr>
      <w:r w:rsidRPr="00FB7DA8">
        <w:rPr>
          <w:color w:val="000000"/>
          <w:sz w:val="28"/>
          <w:szCs w:val="28"/>
        </w:rPr>
        <w:t>1. Bộ Tài Chính, Thông tư số 203/2009/TT-BTC hướng dẫn chế độ quản lý, sử dụng và trích khấu hao tài sản cố định</w:t>
      </w:r>
    </w:p>
    <w:p w:rsidR="002126EF" w:rsidRPr="00FB7DA8" w:rsidRDefault="002126EF" w:rsidP="00FB7DA8">
      <w:pPr>
        <w:spacing w:line="264" w:lineRule="auto"/>
        <w:ind w:firstLine="720"/>
        <w:jc w:val="both"/>
        <w:rPr>
          <w:color w:val="000000"/>
          <w:sz w:val="28"/>
          <w:szCs w:val="28"/>
        </w:rPr>
      </w:pPr>
      <w:r w:rsidRPr="00FB7DA8">
        <w:rPr>
          <w:color w:val="000000"/>
          <w:sz w:val="28"/>
          <w:szCs w:val="28"/>
        </w:rPr>
        <w:t xml:space="preserve">2. Bộ Tài Chính, Chuẩn mực kế toán số 01, </w:t>
      </w:r>
      <w:r w:rsidRPr="00FB7DA8">
        <w:rPr>
          <w:i/>
          <w:iCs/>
          <w:color w:val="000000"/>
          <w:sz w:val="28"/>
          <w:szCs w:val="28"/>
        </w:rPr>
        <w:t>Chuẩn mực chung</w:t>
      </w:r>
      <w:r w:rsidRPr="00FB7DA8">
        <w:rPr>
          <w:color w:val="000000"/>
          <w:sz w:val="28"/>
          <w:szCs w:val="28"/>
        </w:rPr>
        <w:t>, ban hành theo quyết định số 165/2001/QĐ-BTC ngày 31/12/2001 của Bộ Tài Chính.</w:t>
      </w:r>
    </w:p>
    <w:p w:rsidR="002126EF" w:rsidRPr="00FB7DA8" w:rsidRDefault="002126EF" w:rsidP="00FB7DA8">
      <w:pPr>
        <w:spacing w:line="264" w:lineRule="auto"/>
        <w:ind w:firstLine="720"/>
        <w:jc w:val="both"/>
        <w:rPr>
          <w:color w:val="000000"/>
          <w:sz w:val="28"/>
          <w:szCs w:val="28"/>
        </w:rPr>
      </w:pPr>
      <w:r w:rsidRPr="00FB7DA8">
        <w:rPr>
          <w:color w:val="000000"/>
          <w:sz w:val="28"/>
          <w:szCs w:val="28"/>
        </w:rPr>
        <w:t>3. Bộ Tài Chính, chuẩn mực kế toán Việt Nam số 4, Tài sản cố định vô hình, ban hành theo quyết định số 149/2001/QĐ-BTC ngày 31/12/2001 của Bộ Tài Chính</w:t>
      </w:r>
    </w:p>
    <w:p w:rsidR="002126EF" w:rsidRPr="00FB7DA8" w:rsidRDefault="002126EF" w:rsidP="00FB7DA8">
      <w:pPr>
        <w:pStyle w:val="FootnoteText"/>
        <w:spacing w:line="264" w:lineRule="auto"/>
        <w:ind w:firstLine="720"/>
        <w:jc w:val="both"/>
        <w:rPr>
          <w:color w:val="000000"/>
          <w:sz w:val="28"/>
          <w:szCs w:val="28"/>
        </w:rPr>
      </w:pPr>
      <w:r w:rsidRPr="00FB7DA8">
        <w:rPr>
          <w:color w:val="000000"/>
          <w:sz w:val="28"/>
          <w:szCs w:val="28"/>
        </w:rPr>
        <w:t xml:space="preserve">4. Bộ Tài Chính, Chuẩn mực kế toán Việt Nam số 3, </w:t>
      </w:r>
      <w:r w:rsidRPr="00FB7DA8">
        <w:rPr>
          <w:i/>
          <w:iCs/>
          <w:color w:val="000000"/>
          <w:sz w:val="28"/>
          <w:szCs w:val="28"/>
        </w:rPr>
        <w:t>Tài sản cố định hữu hình</w:t>
      </w:r>
      <w:r w:rsidRPr="00FB7DA8">
        <w:rPr>
          <w:color w:val="000000"/>
          <w:sz w:val="28"/>
          <w:szCs w:val="28"/>
        </w:rPr>
        <w:t>,  ban hành theo quyết định số 149/2001/QĐ-BTC  ngày 31/12/2001 của Bộ Tài Chính.</w:t>
      </w:r>
    </w:p>
    <w:p w:rsidR="002126EF" w:rsidRPr="00FB7DA8" w:rsidRDefault="002126EF" w:rsidP="00FB7DA8">
      <w:pPr>
        <w:spacing w:line="264" w:lineRule="auto"/>
        <w:ind w:firstLine="720"/>
        <w:jc w:val="both"/>
        <w:rPr>
          <w:color w:val="000000"/>
          <w:sz w:val="28"/>
          <w:szCs w:val="28"/>
        </w:rPr>
      </w:pPr>
      <w:r w:rsidRPr="00FB7DA8">
        <w:rPr>
          <w:color w:val="000000"/>
          <w:sz w:val="28"/>
          <w:szCs w:val="28"/>
        </w:rPr>
        <w:t>5. Bộ Tài Chính, Chuẩn mực kế toán Việt Nam số 6, Thuê tài sản, ban hành theo quyết định số 165/2001/QĐ-BTC ngày 31/12/2001 của Bộ Tài Chính.</w:t>
      </w:r>
    </w:p>
    <w:p w:rsidR="002126EF" w:rsidRPr="00FB7DA8" w:rsidRDefault="002126EF" w:rsidP="00FB7DA8">
      <w:pPr>
        <w:spacing w:line="264" w:lineRule="auto"/>
        <w:ind w:firstLine="720"/>
        <w:jc w:val="both"/>
        <w:rPr>
          <w:color w:val="000000"/>
          <w:sz w:val="28"/>
          <w:szCs w:val="28"/>
        </w:rPr>
      </w:pPr>
      <w:r w:rsidRPr="00FB7DA8">
        <w:rPr>
          <w:color w:val="000000"/>
          <w:sz w:val="28"/>
          <w:szCs w:val="28"/>
        </w:rPr>
        <w:t xml:space="preserve">6. Bộ Tài Chính, 2009, Chế độ kế toán doanh nghiệp, Nhà xuất bản Thống Kê, quyển 1 và 2. </w:t>
      </w:r>
    </w:p>
    <w:p w:rsidR="002126EF" w:rsidRPr="00FB7DA8" w:rsidRDefault="002126EF" w:rsidP="00FB7DA8">
      <w:pPr>
        <w:pStyle w:val="FootnoteText"/>
        <w:spacing w:line="264" w:lineRule="auto"/>
        <w:ind w:firstLine="720"/>
        <w:jc w:val="both"/>
        <w:rPr>
          <w:color w:val="000000"/>
          <w:sz w:val="28"/>
          <w:szCs w:val="28"/>
        </w:rPr>
      </w:pPr>
      <w:r w:rsidRPr="00FB7DA8">
        <w:rPr>
          <w:color w:val="000000"/>
          <w:sz w:val="28"/>
          <w:szCs w:val="28"/>
        </w:rPr>
        <w:t>7. PGS.TS Đoàn Xuõn Tiờn, 24/10/2008, Hệ thống chuẩn mực kế toán Việt Nam: Những vấn đề cần tiếp tục hoàn thiện, Tạp chí kế toán.</w:t>
      </w:r>
    </w:p>
    <w:p w:rsidR="002126EF" w:rsidRPr="00FB7DA8" w:rsidRDefault="002126EF" w:rsidP="00FB7DA8">
      <w:pPr>
        <w:pStyle w:val="FootnoteText"/>
        <w:spacing w:line="264" w:lineRule="auto"/>
        <w:ind w:firstLine="720"/>
        <w:jc w:val="both"/>
        <w:rPr>
          <w:color w:val="000000"/>
          <w:sz w:val="28"/>
          <w:szCs w:val="28"/>
        </w:rPr>
      </w:pPr>
      <w:r w:rsidRPr="00FB7DA8">
        <w:rPr>
          <w:color w:val="000000"/>
          <w:sz w:val="28"/>
          <w:szCs w:val="28"/>
        </w:rPr>
        <w:t>8. Luật Kế toán năm 2015</w:t>
      </w:r>
    </w:p>
    <w:p w:rsidR="002126EF" w:rsidRPr="00FB7DA8" w:rsidRDefault="002126EF" w:rsidP="00FB7DA8">
      <w:pPr>
        <w:pStyle w:val="FootnoteText"/>
        <w:spacing w:line="264" w:lineRule="auto"/>
        <w:ind w:firstLine="720"/>
        <w:jc w:val="both"/>
        <w:rPr>
          <w:b/>
          <w:bCs/>
          <w:color w:val="000000"/>
          <w:sz w:val="28"/>
          <w:szCs w:val="28"/>
        </w:rPr>
      </w:pPr>
      <w:r w:rsidRPr="00FB7DA8">
        <w:rPr>
          <w:b/>
          <w:bCs/>
          <w:color w:val="000000"/>
          <w:sz w:val="28"/>
          <w:szCs w:val="28"/>
        </w:rPr>
        <w:t>II. Tài liệu tham khảo bằng tiếng Anh:</w:t>
      </w:r>
    </w:p>
    <w:p w:rsidR="002126EF" w:rsidRPr="00FB7DA8" w:rsidRDefault="002126EF" w:rsidP="00FB7DA8">
      <w:pPr>
        <w:spacing w:line="264" w:lineRule="auto"/>
        <w:ind w:firstLine="720"/>
        <w:jc w:val="both"/>
        <w:rPr>
          <w:color w:val="000000"/>
          <w:sz w:val="28"/>
          <w:szCs w:val="28"/>
        </w:rPr>
      </w:pPr>
      <w:r w:rsidRPr="00FB7DA8">
        <w:rPr>
          <w:color w:val="000000"/>
          <w:sz w:val="28"/>
          <w:szCs w:val="28"/>
        </w:rPr>
        <w:t xml:space="preserve">1. Barry J. Epstein và Eva K. Jermakowicz, Wiley IFRS 2009 : Interpretation and Application of  International Accounting and Financial Reporting Standards, </w:t>
      </w:r>
      <w:hyperlink r:id="rId10" w:tgtFrame="_parent" w:history="1">
        <w:r w:rsidRPr="00FB7DA8">
          <w:rPr>
            <w:color w:val="000000"/>
            <w:sz w:val="28"/>
            <w:szCs w:val="28"/>
          </w:rPr>
          <w:t>John Wiley &amp; Sons</w:t>
        </w:r>
      </w:hyperlink>
      <w:r w:rsidRPr="00FB7DA8">
        <w:rPr>
          <w:color w:val="000000"/>
          <w:sz w:val="28"/>
          <w:szCs w:val="28"/>
        </w:rPr>
        <w:t xml:space="preserve"> â 2009.</w:t>
      </w:r>
    </w:p>
    <w:p w:rsidR="002126EF" w:rsidRPr="00FB7DA8" w:rsidRDefault="002126EF" w:rsidP="00FB7DA8">
      <w:pPr>
        <w:spacing w:line="264" w:lineRule="auto"/>
        <w:ind w:firstLine="720"/>
        <w:jc w:val="both"/>
        <w:rPr>
          <w:color w:val="000000"/>
          <w:sz w:val="28"/>
          <w:szCs w:val="28"/>
        </w:rPr>
      </w:pPr>
      <w:r w:rsidRPr="00FB7DA8">
        <w:rPr>
          <w:color w:val="000000"/>
          <w:sz w:val="28"/>
          <w:szCs w:val="28"/>
        </w:rPr>
        <w:t>2. IASC và IASB, framework for the preparation and presentation of financial statements) được phê duyệt bởi IASC vào tháng 4/1989 và được công bố vào tháng 7/1989, sau đó được IASB sử dụng chính thức vào tháng 4/2001.</w:t>
      </w:r>
    </w:p>
    <w:p w:rsidR="002126EF" w:rsidRPr="00FB7DA8" w:rsidRDefault="002126EF" w:rsidP="00FB7DA8">
      <w:pPr>
        <w:spacing w:line="264" w:lineRule="auto"/>
        <w:ind w:firstLine="720"/>
        <w:jc w:val="both"/>
        <w:rPr>
          <w:color w:val="000000"/>
          <w:sz w:val="28"/>
          <w:szCs w:val="28"/>
        </w:rPr>
      </w:pPr>
      <w:r w:rsidRPr="00FB7DA8">
        <w:rPr>
          <w:color w:val="000000"/>
          <w:sz w:val="28"/>
          <w:szCs w:val="28"/>
        </w:rPr>
        <w:t>3. IASB, Chuẩn mực kế toán quốc tế số 16, Bất động sản, nhà xưởng và dụng cụ (property, plant and equipment),  phiên bản  đã bao gồm những sửa đổi theo các chuẩn mực báo cáo tài chính quốc tế (IFRS) được ban hành đến  thời điểm 31/12/2008.</w:t>
      </w:r>
    </w:p>
    <w:p w:rsidR="002126EF" w:rsidRPr="00FB7DA8" w:rsidRDefault="002126EF" w:rsidP="00FB7DA8">
      <w:pPr>
        <w:spacing w:line="264" w:lineRule="auto"/>
        <w:ind w:firstLine="720"/>
        <w:jc w:val="both"/>
        <w:rPr>
          <w:color w:val="000000"/>
          <w:sz w:val="28"/>
          <w:szCs w:val="28"/>
        </w:rPr>
      </w:pPr>
      <w:r w:rsidRPr="00FB7DA8">
        <w:rPr>
          <w:color w:val="000000"/>
          <w:sz w:val="28"/>
          <w:szCs w:val="28"/>
        </w:rPr>
        <w:t>4. IASB, IAS 17, Thuê tài sản, phiên bản  đã bao gồm những sửa đổi theo các chuẩn mực báo cáo tài chính quốc tế (IFRS) được ban hành đến  thời điểm 31/12/2008.</w:t>
      </w:r>
    </w:p>
    <w:p w:rsidR="002126EF" w:rsidRPr="00FB7DA8" w:rsidRDefault="002126EF" w:rsidP="00FB7DA8">
      <w:pPr>
        <w:spacing w:line="264" w:lineRule="auto"/>
        <w:ind w:firstLine="720"/>
        <w:jc w:val="both"/>
        <w:rPr>
          <w:color w:val="000000"/>
          <w:sz w:val="28"/>
          <w:szCs w:val="28"/>
        </w:rPr>
      </w:pPr>
      <w:r w:rsidRPr="00FB7DA8">
        <w:rPr>
          <w:color w:val="000000"/>
          <w:sz w:val="28"/>
          <w:szCs w:val="28"/>
        </w:rPr>
        <w:t>5. IASB, Chuẩn mực kế toán quốc tế số 36, Sự giảm giá trị tài sản (impairment of assets), Phiên bản được sửa đổi vào năm 2004, đã bao gồm những sửa đổi theo các chuẩn mực báo cáo tài chính quốc tế (IFRS) được ban hành đến  thời điểm 31/12/2008.</w:t>
      </w:r>
    </w:p>
    <w:p w:rsidR="002126EF" w:rsidRPr="00FB7DA8" w:rsidRDefault="002126EF" w:rsidP="00FB7DA8">
      <w:pPr>
        <w:spacing w:line="264" w:lineRule="auto"/>
        <w:ind w:firstLine="720"/>
        <w:jc w:val="both"/>
        <w:rPr>
          <w:color w:val="000000"/>
          <w:sz w:val="28"/>
          <w:szCs w:val="28"/>
        </w:rPr>
      </w:pPr>
      <w:r w:rsidRPr="00FB7DA8">
        <w:rPr>
          <w:color w:val="000000"/>
          <w:sz w:val="28"/>
          <w:szCs w:val="28"/>
        </w:rPr>
        <w:t>6. IASB, Chuẩn mực kế toán quốc tế số 38, Tài sản cố định vô hình (Intangible assets), phiên bản  đã bao gồm những sửa đổi theo các chuẩn mực báo cáo tài chính quốc tế (IFRS) được ban hành đến  thời điểm 31/12/2008.</w:t>
      </w:r>
    </w:p>
    <w:p w:rsidR="002126EF" w:rsidRPr="00FB7DA8" w:rsidRDefault="002126EF" w:rsidP="00FB7DA8">
      <w:pPr>
        <w:spacing w:line="264" w:lineRule="auto"/>
        <w:ind w:firstLine="720"/>
        <w:jc w:val="both"/>
        <w:rPr>
          <w:color w:val="000000"/>
          <w:sz w:val="28"/>
          <w:szCs w:val="28"/>
        </w:rPr>
      </w:pPr>
    </w:p>
    <w:sectPr w:rsidR="002126EF" w:rsidRPr="00FB7DA8" w:rsidSect="00E5731F">
      <w:pgSz w:w="12240" w:h="15840"/>
      <w:pgMar w:top="1134" w:right="1134" w:bottom="1134" w:left="1985"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26EF" w:rsidRDefault="002126EF" w:rsidP="00E5731F">
      <w:r>
        <w:separator/>
      </w:r>
    </w:p>
  </w:endnote>
  <w:endnote w:type="continuationSeparator" w:id="0">
    <w:p w:rsidR="002126EF" w:rsidRDefault="002126EF" w:rsidP="00E5731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26EF" w:rsidRDefault="002126EF" w:rsidP="00E5731F">
      <w:r>
        <w:separator/>
      </w:r>
    </w:p>
  </w:footnote>
  <w:footnote w:type="continuationSeparator" w:id="0">
    <w:p w:rsidR="002126EF" w:rsidRDefault="002126EF" w:rsidP="00E5731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520634"/>
    <w:multiLevelType w:val="hybridMultilevel"/>
    <w:tmpl w:val="67E06578"/>
    <w:lvl w:ilvl="0" w:tplc="FFFFFFFF">
      <w:start w:val="1"/>
      <w:numFmt w:val="lowerLetter"/>
      <w:lvlText w:val="(%1)"/>
      <w:lvlJc w:val="left"/>
      <w:pPr>
        <w:ind w:left="927" w:hanging="360"/>
      </w:pPr>
      <w:rPr>
        <w:rFonts w:hint="default"/>
      </w:rPr>
    </w:lvl>
    <w:lvl w:ilvl="1" w:tplc="FFFFFFFF">
      <w:start w:val="1"/>
      <w:numFmt w:val="lowerLetter"/>
      <w:lvlText w:val="%2."/>
      <w:lvlJc w:val="left"/>
      <w:pPr>
        <w:ind w:left="1647" w:hanging="360"/>
      </w:pPr>
    </w:lvl>
    <w:lvl w:ilvl="2" w:tplc="FFFFFFFF">
      <w:start w:val="1"/>
      <w:numFmt w:val="lowerRoman"/>
      <w:lvlText w:val="%3."/>
      <w:lvlJc w:val="right"/>
      <w:pPr>
        <w:ind w:left="2367" w:hanging="180"/>
      </w:pPr>
    </w:lvl>
    <w:lvl w:ilvl="3" w:tplc="FFFFFFFF">
      <w:start w:val="1"/>
      <w:numFmt w:val="decimal"/>
      <w:lvlText w:val="%4."/>
      <w:lvlJc w:val="left"/>
      <w:pPr>
        <w:ind w:left="3087" w:hanging="360"/>
      </w:pPr>
    </w:lvl>
    <w:lvl w:ilvl="4" w:tplc="FFFFFFFF">
      <w:start w:val="1"/>
      <w:numFmt w:val="lowerLetter"/>
      <w:lvlText w:val="%5."/>
      <w:lvlJc w:val="left"/>
      <w:pPr>
        <w:ind w:left="3807" w:hanging="360"/>
      </w:pPr>
    </w:lvl>
    <w:lvl w:ilvl="5" w:tplc="FFFFFFFF">
      <w:start w:val="1"/>
      <w:numFmt w:val="lowerRoman"/>
      <w:lvlText w:val="%6."/>
      <w:lvlJc w:val="right"/>
      <w:pPr>
        <w:ind w:left="4527" w:hanging="180"/>
      </w:pPr>
    </w:lvl>
    <w:lvl w:ilvl="6" w:tplc="FFFFFFFF">
      <w:start w:val="1"/>
      <w:numFmt w:val="decimal"/>
      <w:lvlText w:val="%7."/>
      <w:lvlJc w:val="left"/>
      <w:pPr>
        <w:ind w:left="5247" w:hanging="360"/>
      </w:pPr>
    </w:lvl>
    <w:lvl w:ilvl="7" w:tplc="FFFFFFFF">
      <w:start w:val="1"/>
      <w:numFmt w:val="lowerLetter"/>
      <w:lvlText w:val="%8."/>
      <w:lvlJc w:val="left"/>
      <w:pPr>
        <w:ind w:left="5967" w:hanging="360"/>
      </w:pPr>
    </w:lvl>
    <w:lvl w:ilvl="8" w:tplc="FFFFFFFF">
      <w:start w:val="1"/>
      <w:numFmt w:val="lowerRoman"/>
      <w:lvlText w:val="%9."/>
      <w:lvlJc w:val="right"/>
      <w:pPr>
        <w:ind w:left="6687" w:hanging="180"/>
      </w:pPr>
    </w:lvl>
  </w:abstractNum>
  <w:abstractNum w:abstractNumId="1">
    <w:nsid w:val="483F5D41"/>
    <w:multiLevelType w:val="hybridMultilevel"/>
    <w:tmpl w:val="A53C96E2"/>
    <w:lvl w:ilvl="0" w:tplc="FFFFFFFF">
      <w:start w:val="1"/>
      <w:numFmt w:val="lowerLetter"/>
      <w:lvlText w:val="(%1)"/>
      <w:lvlJc w:val="left"/>
      <w:pPr>
        <w:ind w:left="1080" w:hanging="360"/>
      </w:pPr>
      <w:rPr>
        <w:rFonts w:hint="default"/>
      </w:r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C71C2"/>
    <w:rsid w:val="000917FD"/>
    <w:rsid w:val="000C71C2"/>
    <w:rsid w:val="002126EF"/>
    <w:rsid w:val="00272DC1"/>
    <w:rsid w:val="00292B72"/>
    <w:rsid w:val="002A1CD8"/>
    <w:rsid w:val="002C344A"/>
    <w:rsid w:val="003478F9"/>
    <w:rsid w:val="00371EBC"/>
    <w:rsid w:val="00382BAF"/>
    <w:rsid w:val="004A4190"/>
    <w:rsid w:val="00516E87"/>
    <w:rsid w:val="00562036"/>
    <w:rsid w:val="00576AC3"/>
    <w:rsid w:val="0059186C"/>
    <w:rsid w:val="00706378"/>
    <w:rsid w:val="00707B02"/>
    <w:rsid w:val="007146A1"/>
    <w:rsid w:val="00752F73"/>
    <w:rsid w:val="008B57BE"/>
    <w:rsid w:val="008F011B"/>
    <w:rsid w:val="009B5C04"/>
    <w:rsid w:val="009F60EF"/>
    <w:rsid w:val="00A947EE"/>
    <w:rsid w:val="00B758F2"/>
    <w:rsid w:val="00CF14FC"/>
    <w:rsid w:val="00D74622"/>
    <w:rsid w:val="00DB25D0"/>
    <w:rsid w:val="00DE0F5B"/>
    <w:rsid w:val="00E5731F"/>
    <w:rsid w:val="00FB7DA8"/>
    <w:rsid w:val="00FD01C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6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caption" w:locked="1" w:uiPriority="0" w:qFormat="1"/>
    <w:lsdException w:name="footnote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71C2"/>
    <w:rPr>
      <w:rFonts w:eastAsia="Times New Roman"/>
      <w:sz w:val="24"/>
      <w:szCs w:val="24"/>
    </w:rPr>
  </w:style>
  <w:style w:type="paragraph" w:styleId="Heading1">
    <w:name w:val="heading 1"/>
    <w:basedOn w:val="Normal"/>
    <w:next w:val="Normal"/>
    <w:link w:val="Heading1Char"/>
    <w:uiPriority w:val="99"/>
    <w:qFormat/>
    <w:rsid w:val="00E5731F"/>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9"/>
    <w:qFormat/>
    <w:rsid w:val="00E5731F"/>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1"/>
    <w:uiPriority w:val="99"/>
    <w:qFormat/>
    <w:rsid w:val="00E5731F"/>
    <w:pPr>
      <w:keepNext/>
      <w:spacing w:before="240" w:after="60"/>
      <w:outlineLvl w:val="2"/>
    </w:pPr>
    <w:rPr>
      <w:rFonts w:ascii="Arial" w:hAnsi="Arial" w:cs="Arial"/>
      <w:b/>
      <w:bCs/>
      <w:sz w:val="26"/>
      <w:szCs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5731F"/>
    <w:rPr>
      <w:rFonts w:ascii="Arial" w:hAnsi="Arial" w:cs="Arial"/>
      <w:b/>
      <w:bCs/>
      <w:kern w:val="32"/>
      <w:sz w:val="32"/>
      <w:szCs w:val="32"/>
    </w:rPr>
  </w:style>
  <w:style w:type="character" w:customStyle="1" w:styleId="Heading2Char">
    <w:name w:val="Heading 2 Char"/>
    <w:basedOn w:val="DefaultParagraphFont"/>
    <w:link w:val="Heading2"/>
    <w:uiPriority w:val="99"/>
    <w:locked/>
    <w:rsid w:val="00E5731F"/>
    <w:rPr>
      <w:rFonts w:ascii="Arial" w:hAnsi="Arial" w:cs="Arial"/>
      <w:b/>
      <w:bCs/>
      <w:i/>
      <w:iCs/>
      <w:sz w:val="28"/>
      <w:szCs w:val="28"/>
    </w:rPr>
  </w:style>
  <w:style w:type="character" w:customStyle="1" w:styleId="Heading3Char">
    <w:name w:val="Heading 3 Char"/>
    <w:basedOn w:val="DefaultParagraphFont"/>
    <w:link w:val="Heading3"/>
    <w:uiPriority w:val="99"/>
    <w:semiHidden/>
    <w:locked/>
    <w:rsid w:val="00E5731F"/>
    <w:rPr>
      <w:rFonts w:ascii="Cambria" w:hAnsi="Cambria" w:cs="Cambria"/>
      <w:b/>
      <w:bCs/>
      <w:color w:val="auto"/>
      <w:sz w:val="24"/>
      <w:szCs w:val="24"/>
    </w:rPr>
  </w:style>
  <w:style w:type="paragraph" w:styleId="ListParagraph">
    <w:name w:val="List Paragraph"/>
    <w:basedOn w:val="Normal"/>
    <w:uiPriority w:val="99"/>
    <w:qFormat/>
    <w:rsid w:val="00576AC3"/>
    <w:pPr>
      <w:ind w:left="720"/>
    </w:pPr>
  </w:style>
  <w:style w:type="character" w:customStyle="1" w:styleId="Heading3Char1">
    <w:name w:val="Heading 3 Char1"/>
    <w:basedOn w:val="DefaultParagraphFont"/>
    <w:link w:val="Heading3"/>
    <w:uiPriority w:val="99"/>
    <w:locked/>
    <w:rsid w:val="00E5731F"/>
    <w:rPr>
      <w:rFonts w:ascii="Arial" w:hAnsi="Arial" w:cs="Arial"/>
      <w:b/>
      <w:bCs/>
      <w:sz w:val="26"/>
      <w:szCs w:val="26"/>
    </w:rPr>
  </w:style>
  <w:style w:type="paragraph" w:styleId="FootnoteText">
    <w:name w:val="footnote text"/>
    <w:basedOn w:val="Normal"/>
    <w:link w:val="FootnoteTextChar1"/>
    <w:uiPriority w:val="99"/>
    <w:semiHidden/>
    <w:rsid w:val="00E5731F"/>
    <w:rPr>
      <w:sz w:val="20"/>
      <w:szCs w:val="20"/>
    </w:rPr>
  </w:style>
  <w:style w:type="character" w:customStyle="1" w:styleId="FootnoteTextChar">
    <w:name w:val="Footnote Text Char"/>
    <w:basedOn w:val="DefaultParagraphFont"/>
    <w:link w:val="FootnoteText"/>
    <w:uiPriority w:val="99"/>
    <w:semiHidden/>
    <w:locked/>
    <w:rsid w:val="00E5731F"/>
    <w:rPr>
      <w:rFonts w:eastAsia="Times New Roman"/>
      <w:sz w:val="20"/>
      <w:szCs w:val="20"/>
    </w:rPr>
  </w:style>
  <w:style w:type="character" w:customStyle="1" w:styleId="FootnoteTextChar1">
    <w:name w:val="Footnote Text Char1"/>
    <w:basedOn w:val="DefaultParagraphFont"/>
    <w:link w:val="FootnoteText"/>
    <w:uiPriority w:val="99"/>
    <w:semiHidden/>
    <w:locked/>
    <w:rsid w:val="00E5731F"/>
    <w:rPr>
      <w:rFonts w:eastAsia="Times New Roman"/>
      <w:sz w:val="20"/>
      <w:szCs w:val="20"/>
    </w:rPr>
  </w:style>
  <w:style w:type="character" w:styleId="FootnoteReference">
    <w:name w:val="footnote reference"/>
    <w:basedOn w:val="DefaultParagraphFont"/>
    <w:uiPriority w:val="99"/>
    <w:semiHidden/>
    <w:rsid w:val="00E5731F"/>
    <w:rPr>
      <w:vertAlign w:val="superscript"/>
    </w:rPr>
  </w:style>
  <w:style w:type="character" w:styleId="Hyperlink">
    <w:name w:val="Hyperlink"/>
    <w:basedOn w:val="DefaultParagraphFont"/>
    <w:uiPriority w:val="99"/>
    <w:rsid w:val="00E5731F"/>
    <w:rPr>
      <w:color w:val="0000FF"/>
      <w:u w:val="single"/>
    </w:rPr>
  </w:style>
  <w:style w:type="character" w:customStyle="1" w:styleId="b24-bookcwdate">
    <w:name w:val="b24-bookcwdate"/>
    <w:basedOn w:val="DefaultParagraphFont"/>
    <w:uiPriority w:val="99"/>
    <w:rsid w:val="00E5731F"/>
  </w:style>
  <w:style w:type="paragraph" w:styleId="BalloonText">
    <w:name w:val="Balloon Text"/>
    <w:basedOn w:val="Normal"/>
    <w:link w:val="BalloonTextChar"/>
    <w:uiPriority w:val="99"/>
    <w:semiHidden/>
    <w:rsid w:val="00371EBC"/>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71EBC"/>
    <w:rPr>
      <w:rFonts w:ascii="Tahoma" w:hAnsi="Tahoma" w:cs="Tahoma"/>
      <w:sz w:val="16"/>
      <w:szCs w:val="16"/>
    </w:rPr>
  </w:style>
  <w:style w:type="paragraph" w:styleId="NormalWeb">
    <w:name w:val="Normal (Web)"/>
    <w:basedOn w:val="Normal"/>
    <w:uiPriority w:val="99"/>
    <w:rsid w:val="004A4190"/>
    <w:pPr>
      <w:spacing w:before="100" w:beforeAutospacing="1" w:after="100" w:afterAutospacing="1"/>
    </w:pPr>
  </w:style>
  <w:style w:type="character" w:styleId="Strong">
    <w:name w:val="Strong"/>
    <w:basedOn w:val="DefaultParagraphFont"/>
    <w:uiPriority w:val="99"/>
    <w:qFormat/>
    <w:rsid w:val="004A4190"/>
    <w:rPr>
      <w:b/>
      <w:bCs/>
    </w:rPr>
  </w:style>
  <w:style w:type="character" w:customStyle="1" w:styleId="apple-converted-space">
    <w:name w:val="apple-converted-space"/>
    <w:basedOn w:val="DefaultParagraphFont"/>
    <w:uiPriority w:val="99"/>
    <w:rsid w:val="004A4190"/>
  </w:style>
  <w:style w:type="character" w:styleId="Emphasis">
    <w:name w:val="Emphasis"/>
    <w:basedOn w:val="DefaultParagraphFont"/>
    <w:uiPriority w:val="99"/>
    <w:qFormat/>
    <w:rsid w:val="00707B02"/>
    <w:rPr>
      <w:i/>
      <w:iCs/>
    </w:rPr>
  </w:style>
</w:styles>
</file>

<file path=word/webSettings.xml><?xml version="1.0" encoding="utf-8"?>
<w:webSettings xmlns:r="http://schemas.openxmlformats.org/officeDocument/2006/relationships" xmlns:w="http://schemas.openxmlformats.org/wordprocessingml/2006/main">
  <w:divs>
    <w:div w:id="480736332">
      <w:marLeft w:val="0"/>
      <w:marRight w:val="0"/>
      <w:marTop w:val="0"/>
      <w:marBottom w:val="0"/>
      <w:divBdr>
        <w:top w:val="none" w:sz="0" w:space="0" w:color="auto"/>
        <w:left w:val="none" w:sz="0" w:space="0" w:color="auto"/>
        <w:bottom w:val="none" w:sz="0" w:space="0" w:color="auto"/>
        <w:right w:val="none" w:sz="0" w:space="0" w:color="auto"/>
      </w:divBdr>
    </w:div>
    <w:div w:id="480736333">
      <w:marLeft w:val="0"/>
      <w:marRight w:val="0"/>
      <w:marTop w:val="0"/>
      <w:marBottom w:val="0"/>
      <w:divBdr>
        <w:top w:val="none" w:sz="0" w:space="0" w:color="auto"/>
        <w:left w:val="none" w:sz="0" w:space="0" w:color="auto"/>
        <w:bottom w:val="none" w:sz="0" w:space="0" w:color="auto"/>
        <w:right w:val="none" w:sz="0" w:space="0" w:color="auto"/>
      </w:divBdr>
      <w:divsChild>
        <w:div w:id="480736331">
          <w:marLeft w:val="0"/>
          <w:marRight w:val="0"/>
          <w:marTop w:val="0"/>
          <w:marBottom w:val="120"/>
          <w:divBdr>
            <w:top w:val="none" w:sz="0" w:space="0" w:color="auto"/>
            <w:left w:val="none" w:sz="0" w:space="0" w:color="auto"/>
            <w:bottom w:val="none" w:sz="0" w:space="0" w:color="auto"/>
            <w:right w:val="none" w:sz="0" w:space="0" w:color="auto"/>
          </w:divBdr>
        </w:div>
        <w:div w:id="480736335">
          <w:marLeft w:val="0"/>
          <w:marRight w:val="0"/>
          <w:marTop w:val="0"/>
          <w:marBottom w:val="120"/>
          <w:divBdr>
            <w:top w:val="none" w:sz="0" w:space="0" w:color="auto"/>
            <w:left w:val="none" w:sz="0" w:space="0" w:color="auto"/>
            <w:bottom w:val="none" w:sz="0" w:space="0" w:color="auto"/>
            <w:right w:val="none" w:sz="0" w:space="0" w:color="auto"/>
          </w:divBdr>
        </w:div>
        <w:div w:id="480736340">
          <w:marLeft w:val="0"/>
          <w:marRight w:val="0"/>
          <w:marTop w:val="0"/>
          <w:marBottom w:val="120"/>
          <w:divBdr>
            <w:top w:val="none" w:sz="0" w:space="0" w:color="auto"/>
            <w:left w:val="none" w:sz="0" w:space="0" w:color="auto"/>
            <w:bottom w:val="none" w:sz="0" w:space="0" w:color="auto"/>
            <w:right w:val="none" w:sz="0" w:space="0" w:color="auto"/>
          </w:divBdr>
        </w:div>
      </w:divsChild>
    </w:div>
    <w:div w:id="480736336">
      <w:marLeft w:val="0"/>
      <w:marRight w:val="0"/>
      <w:marTop w:val="0"/>
      <w:marBottom w:val="0"/>
      <w:divBdr>
        <w:top w:val="none" w:sz="0" w:space="0" w:color="auto"/>
        <w:left w:val="none" w:sz="0" w:space="0" w:color="auto"/>
        <w:bottom w:val="none" w:sz="0" w:space="0" w:color="auto"/>
        <w:right w:val="none" w:sz="0" w:space="0" w:color="auto"/>
      </w:divBdr>
      <w:divsChild>
        <w:div w:id="480736337">
          <w:marLeft w:val="0"/>
          <w:marRight w:val="0"/>
          <w:marTop w:val="0"/>
          <w:marBottom w:val="0"/>
          <w:divBdr>
            <w:top w:val="none" w:sz="0" w:space="0" w:color="auto"/>
            <w:left w:val="none" w:sz="0" w:space="0" w:color="auto"/>
            <w:bottom w:val="none" w:sz="0" w:space="0" w:color="auto"/>
            <w:right w:val="none" w:sz="0" w:space="0" w:color="auto"/>
          </w:divBdr>
        </w:div>
        <w:div w:id="480736344">
          <w:marLeft w:val="0"/>
          <w:marRight w:val="0"/>
          <w:marTop w:val="0"/>
          <w:marBottom w:val="0"/>
          <w:divBdr>
            <w:top w:val="none" w:sz="0" w:space="0" w:color="auto"/>
            <w:left w:val="none" w:sz="0" w:space="0" w:color="auto"/>
            <w:bottom w:val="none" w:sz="0" w:space="0" w:color="auto"/>
            <w:right w:val="none" w:sz="0" w:space="0" w:color="auto"/>
          </w:divBdr>
          <w:divsChild>
            <w:div w:id="480736334">
              <w:marLeft w:val="0"/>
              <w:marRight w:val="0"/>
              <w:marTop w:val="0"/>
              <w:marBottom w:val="0"/>
              <w:divBdr>
                <w:top w:val="none" w:sz="0" w:space="0" w:color="auto"/>
                <w:left w:val="none" w:sz="0" w:space="0" w:color="auto"/>
                <w:bottom w:val="none" w:sz="0" w:space="0" w:color="auto"/>
                <w:right w:val="none" w:sz="0" w:space="0" w:color="auto"/>
              </w:divBdr>
            </w:div>
            <w:div w:id="48073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736338">
      <w:marLeft w:val="0"/>
      <w:marRight w:val="0"/>
      <w:marTop w:val="0"/>
      <w:marBottom w:val="0"/>
      <w:divBdr>
        <w:top w:val="none" w:sz="0" w:space="0" w:color="auto"/>
        <w:left w:val="none" w:sz="0" w:space="0" w:color="auto"/>
        <w:bottom w:val="none" w:sz="0" w:space="0" w:color="auto"/>
        <w:right w:val="none" w:sz="0" w:space="0" w:color="auto"/>
      </w:divBdr>
    </w:div>
    <w:div w:id="480736339">
      <w:marLeft w:val="0"/>
      <w:marRight w:val="0"/>
      <w:marTop w:val="0"/>
      <w:marBottom w:val="0"/>
      <w:divBdr>
        <w:top w:val="none" w:sz="0" w:space="0" w:color="auto"/>
        <w:left w:val="none" w:sz="0" w:space="0" w:color="auto"/>
        <w:bottom w:val="none" w:sz="0" w:space="0" w:color="auto"/>
        <w:right w:val="none" w:sz="0" w:space="0" w:color="auto"/>
      </w:divBdr>
    </w:div>
    <w:div w:id="480736342">
      <w:marLeft w:val="0"/>
      <w:marRight w:val="0"/>
      <w:marTop w:val="0"/>
      <w:marBottom w:val="0"/>
      <w:divBdr>
        <w:top w:val="none" w:sz="0" w:space="0" w:color="auto"/>
        <w:left w:val="none" w:sz="0" w:space="0" w:color="auto"/>
        <w:bottom w:val="none" w:sz="0" w:space="0" w:color="auto"/>
        <w:right w:val="none" w:sz="0" w:space="0" w:color="auto"/>
      </w:divBdr>
    </w:div>
    <w:div w:id="48073634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tapchitaichinh.vn/tags/IGRvYW5oIG5naGnhu4dw/doanh-nghiep.html" TargetMode="External"/><Relationship Id="rId3" Type="http://schemas.openxmlformats.org/officeDocument/2006/relationships/settings" Target="settings.xml"/><Relationship Id="rId7" Type="http://schemas.openxmlformats.org/officeDocument/2006/relationships/hyperlink" Target="http://tapchitaichinh.vn/tags/Q2h14bqpbiBt4buxYyBr4bq_IHRvw6Fu/chuan-muc-ke-toan.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killport.books24x7.com/books.asp?imprintid=35" TargetMode="External"/><Relationship Id="rId4" Type="http://schemas.openxmlformats.org/officeDocument/2006/relationships/webSettings" Target="webSettings.xml"/><Relationship Id="rId9" Type="http://schemas.openxmlformats.org/officeDocument/2006/relationships/hyperlink" Target="http://tapchitaichinh.vn/tags/IGvhur8gdG_DoW4gdmnDqm4=/ke-toan-vien.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TotalTime>
  <Pages>34</Pages>
  <Words>11698</Words>
  <Characters>-32766</Characters>
  <Application>Microsoft Office Outlook</Application>
  <DocSecurity>0</DocSecurity>
  <Lines>0</Lines>
  <Paragraphs>0</Paragraphs>
  <ScaleCrop>false</ScaleCrop>
  <Company>Tel: 04.37689886</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MỞ ĐẦU</dc:title>
  <dc:subject/>
  <dc:creator>Administrator</dc:creator>
  <cp:keywords/>
  <dc:description/>
  <cp:lastModifiedBy>www.tanbaothien.vn</cp:lastModifiedBy>
  <cp:revision>2</cp:revision>
  <dcterms:created xsi:type="dcterms:W3CDTF">2019-04-12T01:36:00Z</dcterms:created>
  <dcterms:modified xsi:type="dcterms:W3CDTF">2019-04-12T01:36:00Z</dcterms:modified>
</cp:coreProperties>
</file>